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F1" w:rsidRDefault="00B955F1" w:rsidP="00013753">
      <w:pPr>
        <w:jc w:val="both"/>
      </w:pPr>
    </w:p>
    <w:p w:rsidR="00B955F1" w:rsidRDefault="00B955F1" w:rsidP="00013753">
      <w:pPr>
        <w:pStyle w:val="Titel"/>
        <w:jc w:val="both"/>
      </w:pPr>
    </w:p>
    <w:p w:rsidR="00B955F1" w:rsidRDefault="00B955F1" w:rsidP="00013753">
      <w:pPr>
        <w:pStyle w:val="Titel"/>
        <w:jc w:val="both"/>
      </w:pPr>
    </w:p>
    <w:p w:rsidR="00B955F1" w:rsidRDefault="00B955F1" w:rsidP="00013753">
      <w:pPr>
        <w:pStyle w:val="Titel"/>
        <w:jc w:val="both"/>
      </w:pPr>
    </w:p>
    <w:p w:rsidR="00B955F1" w:rsidRDefault="00B955F1" w:rsidP="00013753">
      <w:pPr>
        <w:pStyle w:val="Titel"/>
        <w:jc w:val="both"/>
      </w:pPr>
    </w:p>
    <w:p w:rsidR="00B955F1" w:rsidRDefault="00B955F1" w:rsidP="00013753">
      <w:pPr>
        <w:pStyle w:val="Titel"/>
        <w:jc w:val="both"/>
      </w:pPr>
    </w:p>
    <w:p w:rsidR="00B955F1" w:rsidRDefault="00B955F1" w:rsidP="00013753">
      <w:pPr>
        <w:pStyle w:val="Titel"/>
        <w:jc w:val="both"/>
      </w:pPr>
      <w:r>
        <w:t>Ændring af den kommunale medfinansiering</w:t>
      </w:r>
    </w:p>
    <w:p w:rsidR="00E56C54" w:rsidRPr="00F21D96" w:rsidRDefault="00E56C54" w:rsidP="003152FB">
      <w:pPr>
        <w:spacing w:after="0"/>
        <w:rPr>
          <w:rFonts w:asciiTheme="majorHAnsi" w:hAnsiTheme="majorHAnsi"/>
          <w:color w:val="17365D" w:themeColor="text2" w:themeShade="BF"/>
        </w:rPr>
      </w:pPr>
      <w:r w:rsidRPr="00F21D96">
        <w:rPr>
          <w:rFonts w:asciiTheme="majorHAnsi" w:hAnsiTheme="majorHAnsi"/>
          <w:color w:val="17365D" w:themeColor="text2" w:themeShade="BF"/>
        </w:rPr>
        <w:t>[Sundheds- og Ældreministeriet]</w:t>
      </w:r>
    </w:p>
    <w:p w:rsidR="00E56C54" w:rsidRPr="00F21D96" w:rsidRDefault="00E56C54" w:rsidP="003152FB">
      <w:pPr>
        <w:spacing w:after="0"/>
        <w:rPr>
          <w:rFonts w:asciiTheme="majorHAnsi" w:hAnsiTheme="majorHAnsi"/>
          <w:color w:val="17365D" w:themeColor="text2" w:themeShade="BF"/>
        </w:rPr>
      </w:pPr>
      <w:r w:rsidRPr="00F21D96">
        <w:rPr>
          <w:rFonts w:asciiTheme="majorHAnsi" w:hAnsiTheme="majorHAnsi"/>
          <w:color w:val="17365D" w:themeColor="text2" w:themeShade="BF"/>
        </w:rPr>
        <w:t>[Social- og Indenrigsministeriet]</w:t>
      </w:r>
    </w:p>
    <w:p w:rsidR="00E56C54" w:rsidRPr="00F21D96" w:rsidRDefault="00E56C54" w:rsidP="003152FB">
      <w:pPr>
        <w:spacing w:after="0"/>
        <w:rPr>
          <w:rFonts w:asciiTheme="majorHAnsi" w:hAnsiTheme="majorHAnsi"/>
          <w:color w:val="17365D" w:themeColor="text2" w:themeShade="BF"/>
        </w:rPr>
      </w:pPr>
      <w:r w:rsidRPr="00F21D96">
        <w:rPr>
          <w:rFonts w:asciiTheme="majorHAnsi" w:hAnsiTheme="majorHAnsi"/>
          <w:color w:val="17365D" w:themeColor="text2" w:themeShade="BF"/>
        </w:rPr>
        <w:t>[Finansministeriet]</w:t>
      </w:r>
    </w:p>
    <w:p w:rsidR="00E56C54" w:rsidRPr="00F21D96" w:rsidRDefault="00E56C54" w:rsidP="00E56C54">
      <w:pPr>
        <w:rPr>
          <w:rFonts w:asciiTheme="majorHAnsi" w:hAnsiTheme="majorHAnsi"/>
          <w:color w:val="17365D" w:themeColor="text2" w:themeShade="BF"/>
        </w:rPr>
      </w:pPr>
    </w:p>
    <w:p w:rsidR="00B955F1" w:rsidRPr="00F21D96" w:rsidRDefault="00A443C8" w:rsidP="00A443C8">
      <w:pPr>
        <w:rPr>
          <w:rFonts w:asciiTheme="majorHAnsi" w:hAnsiTheme="majorHAnsi"/>
        </w:rPr>
      </w:pPr>
      <w:r w:rsidRPr="00F21D96">
        <w:rPr>
          <w:rFonts w:asciiTheme="majorHAnsi" w:hAnsiTheme="majorHAnsi"/>
          <w:color w:val="17365D" w:themeColor="text2" w:themeShade="BF"/>
        </w:rPr>
        <w:t>[Maj, 2016]</w:t>
      </w:r>
      <w:r w:rsidR="00B955F1" w:rsidRPr="00F21D96">
        <w:rPr>
          <w:rFonts w:asciiTheme="majorHAnsi" w:hAnsiTheme="majorHAnsi"/>
        </w:rPr>
        <w:br w:type="page"/>
      </w:r>
    </w:p>
    <w:sdt>
      <w:sdtPr>
        <w:rPr>
          <w:rFonts w:ascii="Garamond" w:eastAsiaTheme="minorHAnsi" w:hAnsi="Garamond" w:cstheme="minorBidi"/>
          <w:b w:val="0"/>
          <w:bCs w:val="0"/>
          <w:color w:val="auto"/>
          <w:sz w:val="22"/>
          <w:szCs w:val="22"/>
          <w:lang w:eastAsia="en-US"/>
        </w:rPr>
        <w:id w:val="2061285149"/>
        <w:docPartObj>
          <w:docPartGallery w:val="Table of Contents"/>
          <w:docPartUnique/>
        </w:docPartObj>
      </w:sdtPr>
      <w:sdtContent>
        <w:p w:rsidR="00B955F1" w:rsidRPr="00F21D96" w:rsidRDefault="00B955F1" w:rsidP="00F21D96">
          <w:pPr>
            <w:pStyle w:val="Overskrift"/>
            <w:pBdr>
              <w:bottom w:val="single" w:sz="4" w:space="1" w:color="4F81BD" w:themeColor="accent1"/>
            </w:pBdr>
            <w:spacing w:line="360" w:lineRule="auto"/>
            <w:jc w:val="both"/>
            <w:rPr>
              <w:rFonts w:ascii="Garamond" w:hAnsi="Garamond"/>
              <w:sz w:val="22"/>
              <w:szCs w:val="22"/>
            </w:rPr>
          </w:pPr>
          <w:r w:rsidRPr="00F21D96">
            <w:rPr>
              <w:rFonts w:ascii="Garamond" w:hAnsi="Garamond"/>
              <w:b w:val="0"/>
              <w:color w:val="17365D" w:themeColor="text2" w:themeShade="BF"/>
              <w:sz w:val="22"/>
              <w:szCs w:val="22"/>
            </w:rPr>
            <w:t>Indhold</w:t>
          </w:r>
        </w:p>
        <w:p w:rsidR="00B955F1" w:rsidRPr="00BC175A" w:rsidRDefault="00B955F1" w:rsidP="00F21D96">
          <w:pPr>
            <w:spacing w:line="360" w:lineRule="auto"/>
            <w:jc w:val="both"/>
            <w:rPr>
              <w:rFonts w:ascii="Garamond" w:hAnsi="Garamond"/>
              <w:color w:val="000000" w:themeColor="text1"/>
              <w:lang w:eastAsia="da-DK"/>
            </w:rPr>
          </w:pPr>
        </w:p>
        <w:p w:rsidR="00A25032" w:rsidRPr="00F21D96" w:rsidRDefault="00B955F1" w:rsidP="00F21D96">
          <w:pPr>
            <w:pStyle w:val="Indholdsfortegnelse1"/>
            <w:rPr>
              <w:rFonts w:eastAsiaTheme="minorEastAsia"/>
              <w:noProof/>
              <w:lang w:eastAsia="da-DK"/>
            </w:rPr>
          </w:pPr>
          <w:r w:rsidRPr="00F21D96">
            <w:rPr>
              <w:color w:val="000000" w:themeColor="text1"/>
            </w:rPr>
            <w:fldChar w:fldCharType="begin"/>
          </w:r>
          <w:r w:rsidRPr="00F21D96">
            <w:rPr>
              <w:color w:val="000000" w:themeColor="text1"/>
            </w:rPr>
            <w:instrText xml:space="preserve"> TOC \o "1-3" \h \z \u </w:instrText>
          </w:r>
          <w:r w:rsidRPr="00F21D96">
            <w:rPr>
              <w:color w:val="000000" w:themeColor="text1"/>
            </w:rPr>
            <w:fldChar w:fldCharType="separate"/>
          </w:r>
          <w:hyperlink w:anchor="_Toc451358715" w:history="1">
            <w:r w:rsidR="00A25032" w:rsidRPr="00F21D96">
              <w:rPr>
                <w:rStyle w:val="Hyperlink"/>
                <w:rFonts w:ascii="Garamond" w:hAnsi="Garamond"/>
                <w:noProof/>
              </w:rPr>
              <w:t>1.Indledning og sammenfatning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_Toc451358715 \h </w:instrText>
            </w:r>
            <w:r w:rsidR="00A25032" w:rsidRPr="00F21D96">
              <w:rPr>
                <w:noProof/>
                <w:webHidden/>
              </w:rPr>
            </w:r>
            <w:r w:rsidR="00A25032" w:rsidRPr="00F21D96">
              <w:rPr>
                <w:noProof/>
                <w:webHidden/>
              </w:rPr>
              <w:fldChar w:fldCharType="separate"/>
            </w:r>
            <w:r w:rsidR="00615D48">
              <w:rPr>
                <w:noProof/>
                <w:webHidden/>
              </w:rPr>
              <w:t>3</w:t>
            </w:r>
            <w:r w:rsidR="00A25032" w:rsidRPr="00F21D96">
              <w:rPr>
                <w:noProof/>
                <w:webHidden/>
              </w:rPr>
              <w:fldChar w:fldCharType="end"/>
            </w:r>
          </w:hyperlink>
        </w:p>
        <w:p w:rsidR="00A25032" w:rsidRPr="00F21D96" w:rsidRDefault="009B0668" w:rsidP="00BC175A">
          <w:pPr>
            <w:pStyle w:val="Indholdsfortegnelse1"/>
            <w:ind w:firstLine="0"/>
            <w:rPr>
              <w:rFonts w:eastAsiaTheme="minorEastAsia"/>
              <w:noProof/>
              <w:lang w:eastAsia="da-DK"/>
            </w:rPr>
          </w:pPr>
          <w:hyperlink w:anchor="_Toc451358716" w:history="1">
            <w:r w:rsidR="00A25032" w:rsidRPr="00F21D96">
              <w:rPr>
                <w:rStyle w:val="Hyperlink"/>
                <w:rFonts w:ascii="Garamond" w:hAnsi="Garamond"/>
                <w:i/>
                <w:noProof/>
              </w:rPr>
              <w:t>1.1 Indledning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_Toc451358716 \h </w:instrText>
            </w:r>
            <w:r w:rsidR="00A25032" w:rsidRPr="00F21D96">
              <w:rPr>
                <w:noProof/>
                <w:webHidden/>
              </w:rPr>
            </w:r>
            <w:r w:rsidR="00A25032" w:rsidRPr="00F21D96">
              <w:rPr>
                <w:noProof/>
                <w:webHidden/>
              </w:rPr>
              <w:fldChar w:fldCharType="separate"/>
            </w:r>
            <w:r w:rsidR="00615D48">
              <w:rPr>
                <w:noProof/>
                <w:webHidden/>
              </w:rPr>
              <w:t>3</w:t>
            </w:r>
            <w:r w:rsidR="00A25032" w:rsidRPr="00F21D96">
              <w:rPr>
                <w:noProof/>
                <w:webHidden/>
              </w:rPr>
              <w:fldChar w:fldCharType="end"/>
            </w:r>
          </w:hyperlink>
        </w:p>
        <w:p w:rsidR="00A25032" w:rsidRPr="00F21D96" w:rsidRDefault="009B0668" w:rsidP="0045317C">
          <w:pPr>
            <w:pStyle w:val="Indholdsfortegnelse1"/>
            <w:ind w:firstLine="0"/>
            <w:rPr>
              <w:rFonts w:eastAsiaTheme="minorEastAsia"/>
              <w:noProof/>
              <w:lang w:eastAsia="da-DK"/>
            </w:rPr>
          </w:pPr>
          <w:hyperlink w:anchor="_Toc451358717" w:history="1">
            <w:r w:rsidR="00A25032" w:rsidRPr="00F21D96">
              <w:rPr>
                <w:rStyle w:val="Hyperlink"/>
                <w:rFonts w:ascii="Garamond" w:hAnsi="Garamond"/>
                <w:i/>
                <w:noProof/>
              </w:rPr>
              <w:t>1.2 Sammenfatning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_Toc451358717 \h </w:instrText>
            </w:r>
            <w:r w:rsidR="00A25032" w:rsidRPr="00F21D96">
              <w:rPr>
                <w:noProof/>
                <w:webHidden/>
              </w:rPr>
            </w:r>
            <w:r w:rsidR="00A25032" w:rsidRPr="00F21D96">
              <w:rPr>
                <w:noProof/>
                <w:webHidden/>
              </w:rPr>
              <w:fldChar w:fldCharType="separate"/>
            </w:r>
            <w:r w:rsidR="00615D48">
              <w:rPr>
                <w:noProof/>
                <w:webHidden/>
              </w:rPr>
              <w:t>4</w:t>
            </w:r>
            <w:r w:rsidR="00A25032" w:rsidRPr="00F21D96">
              <w:rPr>
                <w:noProof/>
                <w:webHidden/>
              </w:rPr>
              <w:fldChar w:fldCharType="end"/>
            </w:r>
          </w:hyperlink>
        </w:p>
        <w:p w:rsidR="00A25032" w:rsidRPr="00F21D96" w:rsidRDefault="009B0668" w:rsidP="00E264BB">
          <w:pPr>
            <w:pStyle w:val="Indholdsfortegnelse1"/>
            <w:ind w:firstLine="0"/>
            <w:rPr>
              <w:rFonts w:eastAsiaTheme="minorEastAsia"/>
              <w:noProof/>
              <w:lang w:eastAsia="da-DK"/>
            </w:rPr>
          </w:pPr>
          <w:hyperlink w:anchor="_Toc451358718" w:history="1">
            <w:r w:rsidR="00A25032" w:rsidRPr="00F21D96">
              <w:rPr>
                <w:rStyle w:val="Hyperlink"/>
                <w:rFonts w:ascii="Garamond" w:hAnsi="Garamond"/>
                <w:i/>
                <w:noProof/>
              </w:rPr>
              <w:t>1.3 Evalueringen af den kommunale medfinansiering (2015)</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_Toc451358718 \h </w:instrText>
            </w:r>
            <w:r w:rsidR="00A25032" w:rsidRPr="00F21D96">
              <w:rPr>
                <w:noProof/>
                <w:webHidden/>
              </w:rPr>
            </w:r>
            <w:r w:rsidR="00A25032" w:rsidRPr="00F21D96">
              <w:rPr>
                <w:noProof/>
                <w:webHidden/>
              </w:rPr>
              <w:fldChar w:fldCharType="separate"/>
            </w:r>
            <w:r w:rsidR="00615D48">
              <w:rPr>
                <w:noProof/>
                <w:webHidden/>
              </w:rPr>
              <w:t>5</w:t>
            </w:r>
            <w:r w:rsidR="00A25032" w:rsidRPr="00F21D96">
              <w:rPr>
                <w:noProof/>
                <w:webHidden/>
              </w:rPr>
              <w:fldChar w:fldCharType="end"/>
            </w:r>
          </w:hyperlink>
        </w:p>
        <w:p w:rsidR="00A25032" w:rsidRPr="00F21D96" w:rsidRDefault="009B0668" w:rsidP="00E264BB">
          <w:pPr>
            <w:pStyle w:val="Indholdsfortegnelse1"/>
            <w:rPr>
              <w:rFonts w:eastAsiaTheme="minorEastAsia"/>
              <w:noProof/>
              <w:lang w:eastAsia="da-DK"/>
            </w:rPr>
          </w:pPr>
          <w:hyperlink w:anchor="_Toc451358719" w:history="1">
            <w:r w:rsidR="00A25032" w:rsidRPr="00F21D96">
              <w:rPr>
                <w:rStyle w:val="Hyperlink"/>
                <w:rFonts w:ascii="Garamond" w:hAnsi="Garamond"/>
                <w:noProof/>
              </w:rPr>
              <w:t>2. Baggrund - den eksisterende kommunale medfinansiering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_Toc451358719 \h </w:instrText>
            </w:r>
            <w:r w:rsidR="00A25032" w:rsidRPr="00F21D96">
              <w:rPr>
                <w:noProof/>
                <w:webHidden/>
              </w:rPr>
            </w:r>
            <w:r w:rsidR="00A25032" w:rsidRPr="00F21D96">
              <w:rPr>
                <w:noProof/>
                <w:webHidden/>
              </w:rPr>
              <w:fldChar w:fldCharType="separate"/>
            </w:r>
            <w:r w:rsidR="00615D48">
              <w:rPr>
                <w:noProof/>
                <w:webHidden/>
              </w:rPr>
              <w:t>7</w:t>
            </w:r>
            <w:r w:rsidR="00A25032" w:rsidRPr="00F21D96">
              <w:rPr>
                <w:noProof/>
                <w:webHidden/>
              </w:rPr>
              <w:fldChar w:fldCharType="end"/>
            </w:r>
          </w:hyperlink>
        </w:p>
        <w:p w:rsidR="00A25032" w:rsidRPr="00F21D96" w:rsidRDefault="009B0668" w:rsidP="00E264BB">
          <w:pPr>
            <w:pStyle w:val="Indholdsfortegnelse1"/>
            <w:rPr>
              <w:rFonts w:eastAsiaTheme="minorEastAsia"/>
              <w:noProof/>
              <w:lang w:eastAsia="da-DK"/>
            </w:rPr>
          </w:pPr>
          <w:hyperlink w:anchor="_Toc451358720" w:history="1">
            <w:r w:rsidR="00A25032" w:rsidRPr="00F21D96">
              <w:rPr>
                <w:rStyle w:val="Hyperlink"/>
                <w:rFonts w:ascii="Garamond" w:hAnsi="Garamond"/>
                <w:noProof/>
              </w:rPr>
              <w:t>3. En differentieret KMF</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_Toc451358720 \h </w:instrText>
            </w:r>
            <w:r w:rsidR="00A25032" w:rsidRPr="00F21D96">
              <w:rPr>
                <w:noProof/>
                <w:webHidden/>
              </w:rPr>
            </w:r>
            <w:r w:rsidR="00A25032" w:rsidRPr="00F21D96">
              <w:rPr>
                <w:noProof/>
                <w:webHidden/>
              </w:rPr>
              <w:fldChar w:fldCharType="separate"/>
            </w:r>
            <w:r w:rsidR="00615D48">
              <w:rPr>
                <w:noProof/>
                <w:webHidden/>
              </w:rPr>
              <w:t>8</w:t>
            </w:r>
            <w:r w:rsidR="00A25032" w:rsidRPr="00F21D96">
              <w:rPr>
                <w:noProof/>
                <w:webHidden/>
              </w:rPr>
              <w:fldChar w:fldCharType="end"/>
            </w:r>
          </w:hyperlink>
        </w:p>
        <w:p w:rsidR="00A25032" w:rsidRPr="00F21D96" w:rsidRDefault="009B0668" w:rsidP="00F21D96">
          <w:pPr>
            <w:pStyle w:val="Indholdsfortegnelse1"/>
            <w:ind w:firstLine="0"/>
            <w:rPr>
              <w:rFonts w:eastAsiaTheme="minorEastAsia"/>
              <w:noProof/>
              <w:lang w:eastAsia="da-DK"/>
            </w:rPr>
          </w:pPr>
          <w:hyperlink w:anchor="_Toc451358721" w:history="1">
            <w:r w:rsidR="00A25032" w:rsidRPr="00F21D96">
              <w:rPr>
                <w:rStyle w:val="Hyperlink"/>
                <w:rFonts w:ascii="Garamond" w:hAnsi="Garamond"/>
                <w:i/>
                <w:noProof/>
              </w:rPr>
              <w:t>3.1 Den eksisterende generelle ordning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_Toc451358721 \h </w:instrText>
            </w:r>
            <w:r w:rsidR="00A25032" w:rsidRPr="00F21D96">
              <w:rPr>
                <w:noProof/>
                <w:webHidden/>
              </w:rPr>
            </w:r>
            <w:r w:rsidR="00A25032" w:rsidRPr="00F21D96">
              <w:rPr>
                <w:noProof/>
                <w:webHidden/>
              </w:rPr>
              <w:fldChar w:fldCharType="separate"/>
            </w:r>
            <w:r w:rsidR="00615D48">
              <w:rPr>
                <w:noProof/>
                <w:webHidden/>
              </w:rPr>
              <w:t>8</w:t>
            </w:r>
            <w:r w:rsidR="00A25032" w:rsidRPr="00F21D96">
              <w:rPr>
                <w:noProof/>
                <w:webHidden/>
              </w:rPr>
              <w:fldChar w:fldCharType="end"/>
            </w:r>
          </w:hyperlink>
        </w:p>
        <w:p w:rsidR="00A25032" w:rsidRPr="00F21D96" w:rsidRDefault="009B0668" w:rsidP="00F21D96">
          <w:pPr>
            <w:pStyle w:val="Indholdsfortegnelse1"/>
            <w:ind w:firstLine="0"/>
            <w:rPr>
              <w:rFonts w:eastAsiaTheme="minorEastAsia"/>
              <w:noProof/>
              <w:lang w:eastAsia="da-DK"/>
            </w:rPr>
          </w:pPr>
          <w:hyperlink w:anchor="_Toc451358722" w:history="1">
            <w:r w:rsidR="00A25032" w:rsidRPr="00F21D96">
              <w:rPr>
                <w:rStyle w:val="Hyperlink"/>
                <w:rFonts w:ascii="Garamond" w:hAnsi="Garamond"/>
                <w:i/>
                <w:noProof/>
              </w:rPr>
              <w:t>3.2 En differentieret KMF</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_Toc451358722 \h </w:instrText>
            </w:r>
            <w:r w:rsidR="00A25032" w:rsidRPr="00F21D96">
              <w:rPr>
                <w:noProof/>
                <w:webHidden/>
              </w:rPr>
            </w:r>
            <w:r w:rsidR="00A25032" w:rsidRPr="00F21D96">
              <w:rPr>
                <w:noProof/>
                <w:webHidden/>
              </w:rPr>
              <w:fldChar w:fldCharType="separate"/>
            </w:r>
            <w:r w:rsidR="00615D48">
              <w:rPr>
                <w:noProof/>
                <w:webHidden/>
              </w:rPr>
              <w:t>9</w:t>
            </w:r>
            <w:r w:rsidR="00A25032" w:rsidRPr="00F21D96">
              <w:rPr>
                <w:noProof/>
                <w:webHidden/>
              </w:rPr>
              <w:fldChar w:fldCharType="end"/>
            </w:r>
          </w:hyperlink>
        </w:p>
        <w:p w:rsidR="00A25032" w:rsidRPr="00F21D96" w:rsidRDefault="009B0668" w:rsidP="00F21D96">
          <w:pPr>
            <w:pStyle w:val="Indholdsfortegnelse3"/>
            <w:rPr>
              <w:rFonts w:eastAsiaTheme="minorEastAsia"/>
              <w:lang w:eastAsia="da-DK"/>
            </w:rPr>
          </w:pPr>
          <w:hyperlink w:anchor="_Toc451358723" w:history="1">
            <w:r w:rsidR="00A25032" w:rsidRPr="00F21D96">
              <w:rPr>
                <w:rStyle w:val="Hyperlink"/>
              </w:rPr>
              <w:t>3.2.1 Overordnede principper for en differentieret KMF</w:t>
            </w:r>
            <w:r w:rsidR="00A25032" w:rsidRPr="00F21D96">
              <w:rPr>
                <w:webHidden/>
              </w:rPr>
              <w:tab/>
            </w:r>
            <w:r w:rsidR="00A25032" w:rsidRPr="00F21D96">
              <w:rPr>
                <w:webHidden/>
              </w:rPr>
              <w:fldChar w:fldCharType="begin"/>
            </w:r>
            <w:r w:rsidR="00A25032" w:rsidRPr="00F21D96">
              <w:rPr>
                <w:webHidden/>
              </w:rPr>
              <w:instrText xml:space="preserve"> PAGEREF _Toc451358723 \h </w:instrText>
            </w:r>
            <w:r w:rsidR="00A25032" w:rsidRPr="00F21D96">
              <w:rPr>
                <w:webHidden/>
              </w:rPr>
            </w:r>
            <w:r w:rsidR="00A25032" w:rsidRPr="00F21D96">
              <w:rPr>
                <w:webHidden/>
              </w:rPr>
              <w:fldChar w:fldCharType="separate"/>
            </w:r>
            <w:r w:rsidR="00615D48">
              <w:rPr>
                <w:webHidden/>
              </w:rPr>
              <w:t>9</w:t>
            </w:r>
            <w:r w:rsidR="00A25032" w:rsidRPr="00F21D96">
              <w:rPr>
                <w:webHidden/>
              </w:rPr>
              <w:fldChar w:fldCharType="end"/>
            </w:r>
          </w:hyperlink>
        </w:p>
        <w:p w:rsidR="00A25032" w:rsidRPr="00F21D96" w:rsidRDefault="009B0668" w:rsidP="00F21D96">
          <w:pPr>
            <w:pStyle w:val="Indholdsfortegnelse3"/>
            <w:rPr>
              <w:rFonts w:eastAsiaTheme="minorEastAsia"/>
              <w:lang w:eastAsia="da-DK"/>
            </w:rPr>
          </w:pPr>
          <w:hyperlink w:anchor="_Toc451358724" w:history="1">
            <w:r w:rsidR="00A25032" w:rsidRPr="00F21D96">
              <w:rPr>
                <w:rStyle w:val="Hyperlink"/>
              </w:rPr>
              <w:t>3.2.2 En differentieret ordning – mulige modeller</w:t>
            </w:r>
            <w:r w:rsidR="00A25032" w:rsidRPr="00F21D96">
              <w:rPr>
                <w:webHidden/>
              </w:rPr>
              <w:tab/>
            </w:r>
            <w:r w:rsidR="00A25032" w:rsidRPr="00F21D96">
              <w:rPr>
                <w:webHidden/>
              </w:rPr>
              <w:fldChar w:fldCharType="begin"/>
            </w:r>
            <w:r w:rsidR="00A25032" w:rsidRPr="00F21D96">
              <w:rPr>
                <w:webHidden/>
              </w:rPr>
              <w:instrText xml:space="preserve"> PAGEREF _Toc451358724 \h </w:instrText>
            </w:r>
            <w:r w:rsidR="00A25032" w:rsidRPr="00F21D96">
              <w:rPr>
                <w:webHidden/>
              </w:rPr>
            </w:r>
            <w:r w:rsidR="00A25032" w:rsidRPr="00F21D96">
              <w:rPr>
                <w:webHidden/>
              </w:rPr>
              <w:fldChar w:fldCharType="separate"/>
            </w:r>
            <w:r w:rsidR="00615D48">
              <w:rPr>
                <w:webHidden/>
              </w:rPr>
              <w:t>9</w:t>
            </w:r>
            <w:r w:rsidR="00A25032" w:rsidRPr="00F21D96">
              <w:rPr>
                <w:webHidden/>
              </w:rPr>
              <w:fldChar w:fldCharType="end"/>
            </w:r>
          </w:hyperlink>
        </w:p>
        <w:p w:rsidR="00A25032" w:rsidRPr="00F21D96" w:rsidRDefault="009B0668" w:rsidP="00F21D96">
          <w:pPr>
            <w:pStyle w:val="Indholdsfortegnelse3"/>
            <w:rPr>
              <w:rFonts w:eastAsiaTheme="minorEastAsia"/>
              <w:lang w:eastAsia="da-DK"/>
            </w:rPr>
          </w:pPr>
          <w:hyperlink w:anchor="_Toc451358725" w:history="1">
            <w:r w:rsidR="00A25032" w:rsidRPr="00F21D96">
              <w:rPr>
                <w:rStyle w:val="Hyperlink"/>
              </w:rPr>
              <w:t>3.2.3 En differentieret ordning ift. alder</w:t>
            </w:r>
            <w:r w:rsidR="00A25032" w:rsidRPr="00F21D96">
              <w:rPr>
                <w:webHidden/>
              </w:rPr>
              <w:tab/>
            </w:r>
            <w:r w:rsidR="00A25032" w:rsidRPr="00F21D96">
              <w:rPr>
                <w:webHidden/>
              </w:rPr>
              <w:fldChar w:fldCharType="begin"/>
            </w:r>
            <w:r w:rsidR="00A25032" w:rsidRPr="00F21D96">
              <w:rPr>
                <w:webHidden/>
              </w:rPr>
              <w:instrText xml:space="preserve"> PAGEREF _Toc451358725 \h </w:instrText>
            </w:r>
            <w:r w:rsidR="00A25032" w:rsidRPr="00F21D96">
              <w:rPr>
                <w:webHidden/>
              </w:rPr>
            </w:r>
            <w:r w:rsidR="00A25032" w:rsidRPr="00F21D96">
              <w:rPr>
                <w:webHidden/>
              </w:rPr>
              <w:fldChar w:fldCharType="separate"/>
            </w:r>
            <w:r w:rsidR="00615D48">
              <w:rPr>
                <w:webHidden/>
              </w:rPr>
              <w:t>11</w:t>
            </w:r>
            <w:r w:rsidR="00A25032" w:rsidRPr="00F21D96">
              <w:rPr>
                <w:webHidden/>
              </w:rPr>
              <w:fldChar w:fldCharType="end"/>
            </w:r>
          </w:hyperlink>
        </w:p>
        <w:p w:rsidR="00A25032" w:rsidRPr="00F21D96" w:rsidRDefault="009B0668" w:rsidP="00BC175A">
          <w:pPr>
            <w:pStyle w:val="Indholdsfortegnelse1"/>
            <w:rPr>
              <w:rFonts w:eastAsiaTheme="minorEastAsia"/>
              <w:noProof/>
              <w:lang w:eastAsia="da-DK"/>
            </w:rPr>
          </w:pPr>
          <w:hyperlink w:anchor="_Toc451358726" w:history="1">
            <w:r w:rsidR="00A25032" w:rsidRPr="00F21D96">
              <w:rPr>
                <w:rStyle w:val="Hyperlink"/>
                <w:rFonts w:ascii="Garamond" w:hAnsi="Garamond"/>
                <w:noProof/>
              </w:rPr>
              <w:t>4. Fjernelse af uhensigtsmæssig regional adfærd</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_Toc451358726 \h </w:instrText>
            </w:r>
            <w:r w:rsidR="00A25032" w:rsidRPr="00F21D96">
              <w:rPr>
                <w:noProof/>
                <w:webHidden/>
              </w:rPr>
            </w:r>
            <w:r w:rsidR="00A25032" w:rsidRPr="00F21D96">
              <w:rPr>
                <w:noProof/>
                <w:webHidden/>
              </w:rPr>
              <w:fldChar w:fldCharType="separate"/>
            </w:r>
            <w:r w:rsidR="00615D48">
              <w:rPr>
                <w:noProof/>
                <w:webHidden/>
              </w:rPr>
              <w:t>19</w:t>
            </w:r>
            <w:r w:rsidR="00A25032" w:rsidRPr="00F21D96">
              <w:rPr>
                <w:noProof/>
                <w:webHidden/>
              </w:rPr>
              <w:fldChar w:fldCharType="end"/>
            </w:r>
          </w:hyperlink>
        </w:p>
        <w:p w:rsidR="00A25032" w:rsidRPr="00F21D96" w:rsidRDefault="009B0668" w:rsidP="0045317C">
          <w:pPr>
            <w:pStyle w:val="Indholdsfortegnelse1"/>
            <w:rPr>
              <w:rFonts w:eastAsiaTheme="minorEastAsia"/>
              <w:noProof/>
              <w:lang w:eastAsia="da-DK"/>
            </w:rPr>
          </w:pPr>
          <w:hyperlink w:anchor="_Toc451358727" w:history="1">
            <w:r w:rsidR="00A25032" w:rsidRPr="00F21D96">
              <w:rPr>
                <w:rStyle w:val="Hyperlink"/>
                <w:rFonts w:ascii="Garamond" w:hAnsi="Garamond"/>
                <w:noProof/>
              </w:rPr>
              <w:t>5. Ny beregningsmetode for KMF</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_Toc451358727 \h </w:instrText>
            </w:r>
            <w:r w:rsidR="00A25032" w:rsidRPr="00F21D96">
              <w:rPr>
                <w:noProof/>
                <w:webHidden/>
              </w:rPr>
            </w:r>
            <w:r w:rsidR="00A25032" w:rsidRPr="00F21D96">
              <w:rPr>
                <w:noProof/>
                <w:webHidden/>
              </w:rPr>
              <w:fldChar w:fldCharType="separate"/>
            </w:r>
            <w:r w:rsidR="00615D48">
              <w:rPr>
                <w:noProof/>
                <w:webHidden/>
              </w:rPr>
              <w:t>21</w:t>
            </w:r>
            <w:r w:rsidR="00A25032" w:rsidRPr="00F21D96">
              <w:rPr>
                <w:noProof/>
                <w:webHidden/>
              </w:rPr>
              <w:fldChar w:fldCharType="end"/>
            </w:r>
          </w:hyperlink>
        </w:p>
        <w:p w:rsidR="00A25032" w:rsidRPr="00F21D96" w:rsidRDefault="009B0668" w:rsidP="00E264BB">
          <w:pPr>
            <w:pStyle w:val="Indholdsfortegnelse1"/>
            <w:rPr>
              <w:rFonts w:eastAsiaTheme="minorEastAsia"/>
              <w:noProof/>
              <w:lang w:eastAsia="da-DK"/>
            </w:rPr>
          </w:pPr>
          <w:hyperlink w:anchor="_Toc451358728" w:history="1">
            <w:r w:rsidR="00A25032" w:rsidRPr="00F21D96">
              <w:rPr>
                <w:rStyle w:val="Hyperlink"/>
                <w:rFonts w:ascii="Garamond" w:hAnsi="Garamond"/>
                <w:noProof/>
              </w:rPr>
              <w:t>6. En ændret tilbagebetaling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_Toc451358728 \h </w:instrText>
            </w:r>
            <w:r w:rsidR="00A25032" w:rsidRPr="00F21D96">
              <w:rPr>
                <w:noProof/>
                <w:webHidden/>
              </w:rPr>
            </w:r>
            <w:r w:rsidR="00A25032" w:rsidRPr="00F21D96">
              <w:rPr>
                <w:noProof/>
                <w:webHidden/>
              </w:rPr>
              <w:fldChar w:fldCharType="separate"/>
            </w:r>
            <w:r w:rsidR="00615D48">
              <w:rPr>
                <w:noProof/>
                <w:webHidden/>
              </w:rPr>
              <w:t>23</w:t>
            </w:r>
            <w:r w:rsidR="00A25032" w:rsidRPr="00F21D96">
              <w:rPr>
                <w:noProof/>
                <w:webHidden/>
              </w:rPr>
              <w:fldChar w:fldCharType="end"/>
            </w:r>
          </w:hyperlink>
        </w:p>
        <w:p w:rsidR="00A25032" w:rsidRPr="00F21D96" w:rsidRDefault="009B0668" w:rsidP="00E264BB">
          <w:pPr>
            <w:pStyle w:val="Indholdsfortegnelse1"/>
            <w:rPr>
              <w:rFonts w:eastAsiaTheme="minorEastAsia"/>
              <w:noProof/>
              <w:lang w:eastAsia="da-DK"/>
            </w:rPr>
          </w:pPr>
          <w:hyperlink w:anchor="_Toc451358729" w:history="1">
            <w:r w:rsidR="00A25032" w:rsidRPr="00F21D96">
              <w:rPr>
                <w:rStyle w:val="Hyperlink"/>
                <w:rFonts w:ascii="Garamond" w:hAnsi="Garamond"/>
                <w:noProof/>
              </w:rPr>
              <w:t>7. Øget behov for centrale data</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_Toc451358729 \h </w:instrText>
            </w:r>
            <w:r w:rsidR="00A25032" w:rsidRPr="00F21D96">
              <w:rPr>
                <w:noProof/>
                <w:webHidden/>
              </w:rPr>
            </w:r>
            <w:r w:rsidR="00A25032" w:rsidRPr="00F21D96">
              <w:rPr>
                <w:noProof/>
                <w:webHidden/>
              </w:rPr>
              <w:fldChar w:fldCharType="separate"/>
            </w:r>
            <w:r w:rsidR="00615D48">
              <w:rPr>
                <w:noProof/>
                <w:webHidden/>
              </w:rPr>
              <w:t>26</w:t>
            </w:r>
            <w:r w:rsidR="00A25032" w:rsidRPr="00F21D96">
              <w:rPr>
                <w:noProof/>
                <w:webHidden/>
              </w:rPr>
              <w:fldChar w:fldCharType="end"/>
            </w:r>
          </w:hyperlink>
        </w:p>
        <w:p w:rsidR="00A25032" w:rsidRPr="00F21D96" w:rsidRDefault="009B0668" w:rsidP="00E264BB">
          <w:pPr>
            <w:pStyle w:val="Indholdsfortegnelse1"/>
            <w:rPr>
              <w:rFonts w:eastAsiaTheme="minorEastAsia"/>
              <w:noProof/>
              <w:lang w:eastAsia="da-DK"/>
            </w:rPr>
          </w:pPr>
          <w:hyperlink w:anchor="_Toc451358730" w:history="1">
            <w:r w:rsidR="00A25032" w:rsidRPr="00F21D96">
              <w:rPr>
                <w:rStyle w:val="Hyperlink"/>
                <w:rFonts w:ascii="Garamond" w:hAnsi="Garamond"/>
                <w:noProof/>
              </w:rPr>
              <w:t>8. Implementering af ændringer</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_Toc451358730 \h </w:instrText>
            </w:r>
            <w:r w:rsidR="00A25032" w:rsidRPr="00F21D96">
              <w:rPr>
                <w:noProof/>
                <w:webHidden/>
              </w:rPr>
            </w:r>
            <w:r w:rsidR="00A25032" w:rsidRPr="00F21D96">
              <w:rPr>
                <w:noProof/>
                <w:webHidden/>
              </w:rPr>
              <w:fldChar w:fldCharType="separate"/>
            </w:r>
            <w:r w:rsidR="00615D48">
              <w:rPr>
                <w:noProof/>
                <w:webHidden/>
              </w:rPr>
              <w:t>27</w:t>
            </w:r>
            <w:r w:rsidR="00A25032" w:rsidRPr="00F21D96">
              <w:rPr>
                <w:noProof/>
                <w:webHidden/>
              </w:rPr>
              <w:fldChar w:fldCharType="end"/>
            </w:r>
          </w:hyperlink>
        </w:p>
        <w:p w:rsidR="00BC175A" w:rsidRDefault="00BC175A" w:rsidP="00F21D96">
          <w:pPr>
            <w:pStyle w:val="Indholdsfortegnelse1"/>
            <w:rPr>
              <w:rStyle w:val="Hyperlink"/>
              <w:rFonts w:ascii="Garamond" w:hAnsi="Garamond"/>
              <w:noProof/>
            </w:rPr>
          </w:pPr>
        </w:p>
        <w:p w:rsidR="00A25032" w:rsidRPr="00F21D96" w:rsidRDefault="009B0668" w:rsidP="00F21D96">
          <w:pPr>
            <w:pStyle w:val="Indholdsfortegnelse1"/>
            <w:rPr>
              <w:rFonts w:eastAsiaTheme="minorEastAsia"/>
              <w:noProof/>
              <w:lang w:eastAsia="da-DK"/>
            </w:rPr>
          </w:pPr>
          <w:hyperlink w:anchor="_Toc451358731" w:history="1">
            <w:r w:rsidR="00A25032" w:rsidRPr="00F21D96">
              <w:rPr>
                <w:rStyle w:val="Hyperlink"/>
                <w:rFonts w:ascii="Garamond" w:hAnsi="Garamond"/>
                <w:noProof/>
              </w:rPr>
              <w:t>Bilag</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_Toc451358731 \h </w:instrText>
            </w:r>
            <w:r w:rsidR="00A25032" w:rsidRPr="00F21D96">
              <w:rPr>
                <w:noProof/>
                <w:webHidden/>
              </w:rPr>
            </w:r>
            <w:r w:rsidR="00A25032" w:rsidRPr="00F21D96">
              <w:rPr>
                <w:noProof/>
                <w:webHidden/>
              </w:rPr>
              <w:fldChar w:fldCharType="separate"/>
            </w:r>
            <w:r w:rsidR="00615D48">
              <w:rPr>
                <w:noProof/>
                <w:webHidden/>
              </w:rPr>
              <w:t>28</w:t>
            </w:r>
            <w:r w:rsidR="00A25032" w:rsidRPr="00F21D96">
              <w:rPr>
                <w:noProof/>
                <w:webHidden/>
              </w:rPr>
              <w:fldChar w:fldCharType="end"/>
            </w:r>
          </w:hyperlink>
        </w:p>
        <w:p w:rsidR="00A25032" w:rsidRPr="00F21D96" w:rsidRDefault="009B0668" w:rsidP="00F21D96">
          <w:pPr>
            <w:pStyle w:val="Indholdsfortegnelse1"/>
            <w:rPr>
              <w:rFonts w:eastAsiaTheme="minorEastAsia"/>
              <w:noProof/>
              <w:lang w:eastAsia="da-DK"/>
            </w:rPr>
          </w:pPr>
          <w:hyperlink w:anchor="_Toc451358732" w:history="1">
            <w:r w:rsidR="00A25032" w:rsidRPr="00F21D96">
              <w:rPr>
                <w:rStyle w:val="Hyperlink"/>
                <w:rFonts w:ascii="Garamond" w:hAnsi="Garamond"/>
                <w:noProof/>
              </w:rPr>
              <w:t>B.1 ØA16</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_Toc451358732 \h </w:instrText>
            </w:r>
            <w:r w:rsidR="00A25032" w:rsidRPr="00F21D96">
              <w:rPr>
                <w:noProof/>
                <w:webHidden/>
              </w:rPr>
            </w:r>
            <w:r w:rsidR="00A25032" w:rsidRPr="00F21D96">
              <w:rPr>
                <w:noProof/>
                <w:webHidden/>
              </w:rPr>
              <w:fldChar w:fldCharType="separate"/>
            </w:r>
            <w:r w:rsidR="00615D48">
              <w:rPr>
                <w:noProof/>
                <w:webHidden/>
              </w:rPr>
              <w:t>28</w:t>
            </w:r>
            <w:r w:rsidR="00A25032" w:rsidRPr="00F21D96">
              <w:rPr>
                <w:noProof/>
                <w:webHidden/>
              </w:rPr>
              <w:fldChar w:fldCharType="end"/>
            </w:r>
          </w:hyperlink>
        </w:p>
        <w:p w:rsidR="00A25032" w:rsidRPr="00F21D96" w:rsidRDefault="009B0668" w:rsidP="00F21D96">
          <w:pPr>
            <w:pStyle w:val="Indholdsfortegnelse1"/>
            <w:rPr>
              <w:rFonts w:eastAsiaTheme="minorEastAsia"/>
              <w:noProof/>
              <w:lang w:eastAsia="da-DK"/>
            </w:rPr>
          </w:pPr>
          <w:hyperlink w:anchor="_Toc451358733" w:history="1">
            <w:r w:rsidR="00A25032" w:rsidRPr="00F21D96">
              <w:rPr>
                <w:rStyle w:val="Hyperlink"/>
                <w:rFonts w:ascii="Garamond" w:hAnsi="Garamond"/>
                <w:noProof/>
              </w:rPr>
              <w:t>B.2. De byrdemæssige konsekvenser for kommunerne</w:t>
            </w:r>
            <w:r w:rsidR="00A25032" w:rsidRPr="00F21D96">
              <w:rPr>
                <w:noProof/>
                <w:webHidden/>
              </w:rPr>
              <w:tab/>
            </w:r>
            <w:r w:rsidR="00A25032" w:rsidRPr="00F21D96">
              <w:rPr>
                <w:noProof/>
                <w:webHidden/>
              </w:rPr>
              <w:fldChar w:fldCharType="begin"/>
            </w:r>
            <w:r w:rsidR="00A25032" w:rsidRPr="00F21D96">
              <w:rPr>
                <w:noProof/>
                <w:webHidden/>
              </w:rPr>
              <w:instrText xml:space="preserve"> PAGEREF _Toc451358733 \h </w:instrText>
            </w:r>
            <w:r w:rsidR="00A25032" w:rsidRPr="00F21D96">
              <w:rPr>
                <w:noProof/>
                <w:webHidden/>
              </w:rPr>
            </w:r>
            <w:r w:rsidR="00A25032" w:rsidRPr="00F21D96">
              <w:rPr>
                <w:noProof/>
                <w:webHidden/>
              </w:rPr>
              <w:fldChar w:fldCharType="separate"/>
            </w:r>
            <w:r w:rsidR="00615D48">
              <w:rPr>
                <w:noProof/>
                <w:webHidden/>
              </w:rPr>
              <w:t>29</w:t>
            </w:r>
            <w:r w:rsidR="00A25032" w:rsidRPr="00F21D96">
              <w:rPr>
                <w:noProof/>
                <w:webHidden/>
              </w:rPr>
              <w:fldChar w:fldCharType="end"/>
            </w:r>
          </w:hyperlink>
        </w:p>
        <w:p w:rsidR="00B955F1" w:rsidRPr="00F21D96" w:rsidRDefault="00B955F1" w:rsidP="00BC175A">
          <w:pPr>
            <w:spacing w:line="360" w:lineRule="auto"/>
            <w:jc w:val="both"/>
            <w:rPr>
              <w:rFonts w:ascii="Garamond" w:hAnsi="Garamond"/>
            </w:rPr>
          </w:pPr>
          <w:r w:rsidRPr="00F21D96">
            <w:rPr>
              <w:rFonts w:ascii="Garamond" w:hAnsi="Garamond"/>
              <w:b/>
              <w:bCs/>
              <w:color w:val="000000" w:themeColor="text1"/>
            </w:rPr>
            <w:fldChar w:fldCharType="end"/>
          </w:r>
        </w:p>
      </w:sdtContent>
    </w:sdt>
    <w:p w:rsidR="00B955F1" w:rsidRDefault="00B955F1" w:rsidP="00AE7D7C">
      <w:pPr>
        <w:spacing w:line="360" w:lineRule="auto"/>
        <w:jc w:val="both"/>
      </w:pPr>
      <w:r>
        <w:br w:type="page"/>
      </w:r>
    </w:p>
    <w:p w:rsidR="00013753" w:rsidRDefault="00985CCD" w:rsidP="00013753">
      <w:pPr>
        <w:pStyle w:val="Overskrift1"/>
        <w:numPr>
          <w:ilvl w:val="0"/>
          <w:numId w:val="5"/>
        </w:numPr>
        <w:pBdr>
          <w:bottom w:val="single" w:sz="4" w:space="1" w:color="4F81BD" w:themeColor="accent1"/>
        </w:pBdr>
        <w:ind w:left="284" w:hanging="284"/>
        <w:jc w:val="both"/>
        <w:rPr>
          <w:b w:val="0"/>
          <w:sz w:val="36"/>
          <w:szCs w:val="36"/>
        </w:rPr>
      </w:pPr>
      <w:bookmarkStart w:id="0" w:name="_Toc451358715"/>
      <w:r>
        <w:rPr>
          <w:b w:val="0"/>
          <w:color w:val="17365D" w:themeColor="text2" w:themeShade="BF"/>
          <w:sz w:val="36"/>
          <w:szCs w:val="36"/>
        </w:rPr>
        <w:t>Indledning og sammenfatning</w:t>
      </w:r>
      <w:bookmarkEnd w:id="0"/>
    </w:p>
    <w:p w:rsidR="00985CCD" w:rsidRPr="00B955F1" w:rsidRDefault="00985CCD" w:rsidP="00985CCD">
      <w:pPr>
        <w:pStyle w:val="Overskrift1"/>
        <w:jc w:val="both"/>
        <w:rPr>
          <w:b w:val="0"/>
          <w:color w:val="17365D" w:themeColor="text2" w:themeShade="BF"/>
        </w:rPr>
      </w:pPr>
      <w:bookmarkStart w:id="1" w:name="_Toc451358716"/>
      <w:r>
        <w:rPr>
          <w:b w:val="0"/>
          <w:color w:val="17365D" w:themeColor="text2" w:themeShade="BF"/>
        </w:rPr>
        <w:t>1</w:t>
      </w:r>
      <w:r w:rsidRPr="00B955F1">
        <w:rPr>
          <w:b w:val="0"/>
          <w:color w:val="17365D" w:themeColor="text2" w:themeShade="BF"/>
        </w:rPr>
        <w:t>.1 Indledning</w:t>
      </w:r>
      <w:bookmarkEnd w:id="1"/>
    </w:p>
    <w:p w:rsidR="00985CCD" w:rsidRDefault="00985CCD" w:rsidP="00985CCD">
      <w:pPr>
        <w:jc w:val="both"/>
        <w:rPr>
          <w:rFonts w:ascii="Garamond" w:hAnsi="Garamond"/>
          <w:sz w:val="24"/>
          <w:szCs w:val="24"/>
        </w:rPr>
      </w:pPr>
      <w:r>
        <w:rPr>
          <w:rFonts w:ascii="Garamond" w:hAnsi="Garamond"/>
          <w:sz w:val="24"/>
          <w:szCs w:val="24"/>
        </w:rPr>
        <w:t>I</w:t>
      </w:r>
      <w:r w:rsidRPr="00132751">
        <w:rPr>
          <w:rFonts w:ascii="Garamond" w:hAnsi="Garamond"/>
          <w:sz w:val="24"/>
          <w:szCs w:val="24"/>
        </w:rPr>
        <w:t xml:space="preserve"> </w:t>
      </w:r>
      <w:r>
        <w:rPr>
          <w:rFonts w:ascii="Garamond" w:hAnsi="Garamond"/>
          <w:sz w:val="24"/>
          <w:szCs w:val="24"/>
        </w:rPr>
        <w:t>2007 blev den kommunale medfinansiering</w:t>
      </w:r>
      <w:r w:rsidR="003F7ADF">
        <w:rPr>
          <w:rFonts w:ascii="Garamond" w:hAnsi="Garamond"/>
          <w:sz w:val="24"/>
          <w:szCs w:val="24"/>
        </w:rPr>
        <w:t xml:space="preserve"> (KMF)</w:t>
      </w:r>
      <w:r>
        <w:rPr>
          <w:rFonts w:ascii="Garamond" w:hAnsi="Garamond"/>
          <w:sz w:val="24"/>
          <w:szCs w:val="24"/>
        </w:rPr>
        <w:t xml:space="preserve"> indført med det formål at give kommunerne e</w:t>
      </w:r>
      <w:r w:rsidR="001E2656">
        <w:rPr>
          <w:rFonts w:ascii="Garamond" w:hAnsi="Garamond"/>
          <w:sz w:val="24"/>
          <w:szCs w:val="24"/>
        </w:rPr>
        <w:t>n</w:t>
      </w:r>
      <w:r>
        <w:rPr>
          <w:rFonts w:ascii="Garamond" w:hAnsi="Garamond"/>
          <w:sz w:val="24"/>
          <w:szCs w:val="24"/>
        </w:rPr>
        <w:t xml:space="preserve"> yderligere </w:t>
      </w:r>
      <w:r w:rsidR="001E2656">
        <w:rPr>
          <w:rFonts w:ascii="Garamond" w:hAnsi="Garamond"/>
          <w:sz w:val="24"/>
          <w:szCs w:val="24"/>
        </w:rPr>
        <w:t>tilskyndelse</w:t>
      </w:r>
      <w:r>
        <w:rPr>
          <w:rFonts w:ascii="Garamond" w:hAnsi="Garamond"/>
          <w:sz w:val="24"/>
          <w:szCs w:val="24"/>
        </w:rPr>
        <w:t xml:space="preserve"> til en effektiv forebygge</w:t>
      </w:r>
      <w:r w:rsidR="008D0CC3">
        <w:rPr>
          <w:rFonts w:ascii="Garamond" w:hAnsi="Garamond"/>
          <w:sz w:val="24"/>
          <w:szCs w:val="24"/>
        </w:rPr>
        <w:t>lses-</w:t>
      </w:r>
      <w:r w:rsidR="00EB7CAF">
        <w:rPr>
          <w:rFonts w:ascii="Garamond" w:hAnsi="Garamond"/>
          <w:sz w:val="24"/>
          <w:szCs w:val="24"/>
        </w:rPr>
        <w:t>,</w:t>
      </w:r>
      <w:r w:rsidR="008D0CC3">
        <w:rPr>
          <w:rFonts w:ascii="Garamond" w:hAnsi="Garamond"/>
          <w:sz w:val="24"/>
          <w:szCs w:val="24"/>
        </w:rPr>
        <w:t xml:space="preserve"> trænings</w:t>
      </w:r>
      <w:r w:rsidR="00EB7CAF">
        <w:rPr>
          <w:rFonts w:ascii="Garamond" w:hAnsi="Garamond"/>
          <w:sz w:val="24"/>
          <w:szCs w:val="24"/>
        </w:rPr>
        <w:t>-</w:t>
      </w:r>
      <w:r w:rsidR="008D0CC3">
        <w:rPr>
          <w:rFonts w:ascii="Garamond" w:hAnsi="Garamond"/>
          <w:sz w:val="24"/>
          <w:szCs w:val="24"/>
        </w:rPr>
        <w:t xml:space="preserve"> og plejeindsats, herunder at styrke samarbejdet mellem regioner og kommuner. </w:t>
      </w:r>
    </w:p>
    <w:p w:rsidR="00985CCD" w:rsidRPr="00132751" w:rsidRDefault="00985CCD" w:rsidP="002E7981">
      <w:pPr>
        <w:jc w:val="both"/>
        <w:rPr>
          <w:rFonts w:ascii="Garamond" w:hAnsi="Garamond"/>
          <w:sz w:val="24"/>
          <w:szCs w:val="24"/>
        </w:rPr>
      </w:pPr>
      <w:r>
        <w:rPr>
          <w:rFonts w:ascii="Garamond" w:hAnsi="Garamond"/>
          <w:sz w:val="24"/>
          <w:szCs w:val="24"/>
        </w:rPr>
        <w:t xml:space="preserve">I en </w:t>
      </w:r>
      <w:r w:rsidRPr="00132751">
        <w:rPr>
          <w:rFonts w:ascii="Garamond" w:hAnsi="Garamond"/>
          <w:sz w:val="24"/>
          <w:szCs w:val="24"/>
        </w:rPr>
        <w:t xml:space="preserve">evaluering af </w:t>
      </w:r>
      <w:r>
        <w:rPr>
          <w:rFonts w:ascii="Garamond" w:hAnsi="Garamond"/>
          <w:sz w:val="24"/>
          <w:szCs w:val="24"/>
        </w:rPr>
        <w:t>ordningen</w:t>
      </w:r>
      <w:r w:rsidRPr="00132751">
        <w:rPr>
          <w:rFonts w:ascii="Garamond" w:hAnsi="Garamond"/>
          <w:sz w:val="24"/>
          <w:szCs w:val="24"/>
        </w:rPr>
        <w:t xml:space="preserve"> gennemført i foråret 2015</w:t>
      </w:r>
      <w:r>
        <w:rPr>
          <w:rFonts w:ascii="Garamond" w:hAnsi="Garamond"/>
          <w:sz w:val="24"/>
          <w:szCs w:val="24"/>
        </w:rPr>
        <w:t xml:space="preserve"> konstatere</w:t>
      </w:r>
      <w:r w:rsidR="001E2E6A">
        <w:rPr>
          <w:rFonts w:ascii="Garamond" w:hAnsi="Garamond"/>
          <w:sz w:val="24"/>
          <w:szCs w:val="24"/>
        </w:rPr>
        <w:t>s</w:t>
      </w:r>
      <w:r w:rsidR="001E2E6A" w:rsidRPr="001E2E6A">
        <w:rPr>
          <w:rFonts w:ascii="Garamond" w:hAnsi="Garamond"/>
          <w:sz w:val="24"/>
          <w:szCs w:val="24"/>
        </w:rPr>
        <w:t xml:space="preserve"> </w:t>
      </w:r>
      <w:r w:rsidR="001E2E6A">
        <w:rPr>
          <w:rFonts w:ascii="Garamond" w:hAnsi="Garamond"/>
          <w:sz w:val="24"/>
          <w:szCs w:val="24"/>
        </w:rPr>
        <w:t>det</w:t>
      </w:r>
      <w:r w:rsidRPr="00132751">
        <w:rPr>
          <w:rFonts w:ascii="Garamond" w:hAnsi="Garamond"/>
          <w:sz w:val="24"/>
          <w:szCs w:val="24"/>
        </w:rPr>
        <w:t xml:space="preserve">, at flere kommuner finder incitamenterne ved ordningen beskedne, fordi medfinansieringen omfatter al aktivitet med samme takst uden inddragelse af kommunernes mulighed for at påvirke aktiviteten. Dertil </w:t>
      </w:r>
      <w:r>
        <w:rPr>
          <w:rFonts w:ascii="Garamond" w:hAnsi="Garamond"/>
          <w:sz w:val="24"/>
          <w:szCs w:val="24"/>
        </w:rPr>
        <w:t>pege</w:t>
      </w:r>
      <w:r w:rsidR="001E2E6A">
        <w:rPr>
          <w:rFonts w:ascii="Garamond" w:hAnsi="Garamond"/>
          <w:sz w:val="24"/>
          <w:szCs w:val="24"/>
        </w:rPr>
        <w:t>s</w:t>
      </w:r>
      <w:r w:rsidR="001E2E6A" w:rsidRPr="001E2E6A">
        <w:rPr>
          <w:rFonts w:ascii="Garamond" w:hAnsi="Garamond"/>
          <w:sz w:val="24"/>
          <w:szCs w:val="24"/>
        </w:rPr>
        <w:t xml:space="preserve"> </w:t>
      </w:r>
      <w:r w:rsidR="001E2E6A">
        <w:rPr>
          <w:rFonts w:ascii="Garamond" w:hAnsi="Garamond"/>
          <w:sz w:val="24"/>
          <w:szCs w:val="24"/>
        </w:rPr>
        <w:t>der på</w:t>
      </w:r>
      <w:r w:rsidRPr="00132751">
        <w:rPr>
          <w:rFonts w:ascii="Garamond" w:hAnsi="Garamond"/>
          <w:sz w:val="24"/>
          <w:szCs w:val="24"/>
        </w:rPr>
        <w:t xml:space="preserve">, at den eksisterende ordning kan give regionerne </w:t>
      </w:r>
      <w:r w:rsidR="008E796A">
        <w:rPr>
          <w:rFonts w:ascii="Garamond" w:hAnsi="Garamond"/>
          <w:sz w:val="24"/>
          <w:szCs w:val="24"/>
        </w:rPr>
        <w:t xml:space="preserve">et økonomisk </w:t>
      </w:r>
      <w:r w:rsidRPr="00132751">
        <w:rPr>
          <w:rFonts w:ascii="Garamond" w:hAnsi="Garamond"/>
          <w:sz w:val="24"/>
          <w:szCs w:val="24"/>
        </w:rPr>
        <w:t>incitament til at fastholde uhensigtsmæssig aktivitet på sygehusene. Dvs. ordningen kan medvirke til en regional adfærd, der er modsatrettet en prioritering af det sammenhængende og nære sundhedsvæsen.</w:t>
      </w:r>
    </w:p>
    <w:p w:rsidR="00985CCD" w:rsidRPr="00AD5EAA" w:rsidRDefault="00985CCD" w:rsidP="002E7981">
      <w:pPr>
        <w:jc w:val="both"/>
        <w:rPr>
          <w:rFonts w:ascii="Garamond" w:hAnsi="Garamond"/>
          <w:sz w:val="24"/>
          <w:szCs w:val="24"/>
        </w:rPr>
      </w:pPr>
      <w:r w:rsidRPr="00132751">
        <w:rPr>
          <w:rFonts w:ascii="Garamond" w:hAnsi="Garamond"/>
          <w:sz w:val="24"/>
          <w:szCs w:val="24"/>
        </w:rPr>
        <w:t xml:space="preserve">Med økonomiaftalen for 2016 </w:t>
      </w:r>
      <w:r w:rsidR="00632EFC">
        <w:rPr>
          <w:rFonts w:ascii="Garamond" w:hAnsi="Garamond"/>
          <w:sz w:val="24"/>
          <w:szCs w:val="24"/>
        </w:rPr>
        <w:t xml:space="preserve">mellem regeringen og </w:t>
      </w:r>
      <w:r w:rsidRPr="00132751">
        <w:rPr>
          <w:rFonts w:ascii="Garamond" w:hAnsi="Garamond"/>
          <w:sz w:val="24"/>
          <w:szCs w:val="24"/>
        </w:rPr>
        <w:t xml:space="preserve">Danske Regioner </w:t>
      </w:r>
      <w:r w:rsidR="00632EFC">
        <w:rPr>
          <w:rFonts w:ascii="Garamond" w:hAnsi="Garamond"/>
          <w:sz w:val="24"/>
          <w:szCs w:val="24"/>
        </w:rPr>
        <w:t>henholdsvis</w:t>
      </w:r>
      <w:r w:rsidRPr="00132751">
        <w:rPr>
          <w:rFonts w:ascii="Garamond" w:hAnsi="Garamond"/>
          <w:sz w:val="24"/>
          <w:szCs w:val="24"/>
        </w:rPr>
        <w:t xml:space="preserve"> KL</w:t>
      </w:r>
      <w:r w:rsidR="00632EFC" w:rsidRPr="00632EFC">
        <w:rPr>
          <w:rFonts w:ascii="Garamond" w:hAnsi="Garamond"/>
          <w:sz w:val="24"/>
          <w:szCs w:val="24"/>
        </w:rPr>
        <w:t xml:space="preserve"> </w:t>
      </w:r>
      <w:r w:rsidR="00632EFC" w:rsidRPr="00132751">
        <w:rPr>
          <w:rFonts w:ascii="Garamond" w:hAnsi="Garamond"/>
          <w:sz w:val="24"/>
          <w:szCs w:val="24"/>
        </w:rPr>
        <w:t>blev det derfor aftalt</w:t>
      </w:r>
      <w:r w:rsidRPr="00132751">
        <w:rPr>
          <w:rFonts w:ascii="Garamond" w:hAnsi="Garamond"/>
          <w:sz w:val="24"/>
          <w:szCs w:val="24"/>
        </w:rPr>
        <w:t xml:space="preserve">, at </w:t>
      </w:r>
      <w:r w:rsidR="00E40093">
        <w:rPr>
          <w:rFonts w:ascii="Garamond" w:hAnsi="Garamond"/>
          <w:sz w:val="24"/>
          <w:szCs w:val="24"/>
        </w:rPr>
        <w:t>en</w:t>
      </w:r>
      <w:r w:rsidR="00E40093" w:rsidRPr="00132751">
        <w:rPr>
          <w:rFonts w:ascii="Garamond" w:hAnsi="Garamond"/>
          <w:sz w:val="24"/>
          <w:szCs w:val="24"/>
        </w:rPr>
        <w:t xml:space="preserve"> </w:t>
      </w:r>
      <w:r w:rsidR="00E40093">
        <w:rPr>
          <w:rFonts w:ascii="Garamond" w:hAnsi="Garamond"/>
          <w:sz w:val="24"/>
          <w:szCs w:val="24"/>
        </w:rPr>
        <w:t xml:space="preserve">ændret medfinansiering skal fjerne mulige incitamentsvirkninger i regioner, der kan påvirke den marginale aktivitet, og at </w:t>
      </w:r>
      <w:r w:rsidRPr="00132751">
        <w:rPr>
          <w:rFonts w:ascii="Garamond" w:hAnsi="Garamond"/>
          <w:sz w:val="24"/>
          <w:szCs w:val="24"/>
        </w:rPr>
        <w:t xml:space="preserve">der </w:t>
      </w:r>
      <w:r w:rsidR="00E40093">
        <w:rPr>
          <w:rFonts w:ascii="Garamond" w:hAnsi="Garamond"/>
          <w:sz w:val="24"/>
          <w:szCs w:val="24"/>
        </w:rPr>
        <w:t xml:space="preserve">bør </w:t>
      </w:r>
      <w:r w:rsidRPr="00132751">
        <w:rPr>
          <w:rFonts w:ascii="Garamond" w:hAnsi="Garamond"/>
          <w:sz w:val="24"/>
          <w:szCs w:val="24"/>
        </w:rPr>
        <w:t xml:space="preserve">arbejdes med </w:t>
      </w:r>
      <w:r w:rsidR="008D0CC3">
        <w:rPr>
          <w:rFonts w:ascii="Garamond" w:hAnsi="Garamond"/>
          <w:sz w:val="24"/>
          <w:szCs w:val="24"/>
        </w:rPr>
        <w:t xml:space="preserve">en yderligere kortlægning af fordele og ulemper ved </w:t>
      </w:r>
      <w:r w:rsidR="00E40093">
        <w:rPr>
          <w:rFonts w:ascii="Garamond" w:hAnsi="Garamond"/>
          <w:sz w:val="24"/>
          <w:szCs w:val="24"/>
        </w:rPr>
        <w:t>mulige modeller for at</w:t>
      </w:r>
      <w:r w:rsidR="00632EFC">
        <w:rPr>
          <w:rFonts w:ascii="Garamond" w:hAnsi="Garamond"/>
          <w:sz w:val="24"/>
          <w:szCs w:val="24"/>
        </w:rPr>
        <w:t xml:space="preserve"> </w:t>
      </w:r>
      <w:r w:rsidRPr="00132751">
        <w:rPr>
          <w:rFonts w:ascii="Garamond" w:hAnsi="Garamond"/>
          <w:sz w:val="24"/>
          <w:szCs w:val="24"/>
        </w:rPr>
        <w:t>differentiere medfinansiering</w:t>
      </w:r>
      <w:r w:rsidR="00E40093">
        <w:rPr>
          <w:rFonts w:ascii="Garamond" w:hAnsi="Garamond"/>
          <w:sz w:val="24"/>
          <w:szCs w:val="24"/>
        </w:rPr>
        <w:t>en</w:t>
      </w:r>
      <w:r w:rsidRPr="00132751">
        <w:rPr>
          <w:rFonts w:ascii="Garamond" w:hAnsi="Garamond"/>
          <w:sz w:val="24"/>
          <w:szCs w:val="24"/>
        </w:rPr>
        <w:t xml:space="preserve">. Dertil </w:t>
      </w:r>
      <w:r w:rsidR="003F7ADF">
        <w:rPr>
          <w:rFonts w:ascii="Garamond" w:hAnsi="Garamond"/>
          <w:sz w:val="24"/>
          <w:szCs w:val="24"/>
        </w:rPr>
        <w:t>blev</w:t>
      </w:r>
      <w:r w:rsidRPr="00132751">
        <w:rPr>
          <w:rFonts w:ascii="Garamond" w:hAnsi="Garamond"/>
          <w:sz w:val="24"/>
          <w:szCs w:val="24"/>
        </w:rPr>
        <w:t xml:space="preserve"> det </w:t>
      </w:r>
      <w:r w:rsidR="00073EEF">
        <w:rPr>
          <w:rFonts w:ascii="Garamond" w:hAnsi="Garamond"/>
          <w:sz w:val="24"/>
          <w:szCs w:val="24"/>
        </w:rPr>
        <w:t>i økonomiaftalen for 2016 mellem regeringen og KL aftalt</w:t>
      </w:r>
      <w:r w:rsidRPr="00132751">
        <w:rPr>
          <w:rFonts w:ascii="Garamond" w:hAnsi="Garamond"/>
          <w:sz w:val="24"/>
          <w:szCs w:val="24"/>
        </w:rPr>
        <w:t xml:space="preserve">, at </w:t>
      </w:r>
      <w:r w:rsidR="0061476D">
        <w:rPr>
          <w:rFonts w:ascii="Garamond" w:hAnsi="Garamond"/>
          <w:sz w:val="24"/>
          <w:szCs w:val="24"/>
        </w:rPr>
        <w:t xml:space="preserve">der ses på </w:t>
      </w:r>
      <w:r w:rsidRPr="00132751">
        <w:rPr>
          <w:rFonts w:ascii="Garamond" w:hAnsi="Garamond"/>
          <w:sz w:val="24"/>
          <w:szCs w:val="24"/>
        </w:rPr>
        <w:t>en</w:t>
      </w:r>
      <w:r w:rsidR="003F7ADF">
        <w:rPr>
          <w:rFonts w:ascii="Garamond" w:hAnsi="Garamond"/>
          <w:sz w:val="24"/>
          <w:szCs w:val="24"/>
        </w:rPr>
        <w:t xml:space="preserve"> justering af den</w:t>
      </w:r>
      <w:r w:rsidR="0061476D">
        <w:rPr>
          <w:rFonts w:ascii="Garamond" w:hAnsi="Garamond"/>
          <w:sz w:val="24"/>
          <w:szCs w:val="24"/>
        </w:rPr>
        <w:t xml:space="preserve"> </w:t>
      </w:r>
      <w:r w:rsidRPr="00132751">
        <w:rPr>
          <w:rFonts w:ascii="Garamond" w:hAnsi="Garamond"/>
          <w:sz w:val="24"/>
          <w:szCs w:val="24"/>
        </w:rPr>
        <w:t xml:space="preserve">kommunale efterregulering med fokus på større </w:t>
      </w:r>
      <w:r w:rsidRPr="00AD5EAA">
        <w:rPr>
          <w:rFonts w:ascii="Garamond" w:hAnsi="Garamond"/>
          <w:sz w:val="24"/>
          <w:szCs w:val="24"/>
        </w:rPr>
        <w:t xml:space="preserve">sammenhæng mellem afregning og eventuel tilbagebetaling. Yderligere, at mulighederne vurderes for øget gennemsigtighed i afregning mellem de enkelte regioner og kommuner. </w:t>
      </w:r>
    </w:p>
    <w:p w:rsidR="00985CCD" w:rsidRDefault="00985CCD" w:rsidP="002E7981">
      <w:pPr>
        <w:jc w:val="both"/>
        <w:rPr>
          <w:rFonts w:ascii="Garamond" w:hAnsi="Garamond"/>
          <w:sz w:val="24"/>
          <w:szCs w:val="24"/>
        </w:rPr>
      </w:pPr>
      <w:r w:rsidRPr="00AD5EAA">
        <w:rPr>
          <w:rFonts w:ascii="Garamond" w:hAnsi="Garamond"/>
          <w:sz w:val="24"/>
          <w:szCs w:val="24"/>
        </w:rPr>
        <w:t xml:space="preserve">Som opfølgning på evalueringen og økonomiaftalen er der gennemført et arbejde, som ser på </w:t>
      </w:r>
      <w:r w:rsidR="0061476D">
        <w:rPr>
          <w:rFonts w:ascii="Garamond" w:hAnsi="Garamond"/>
          <w:sz w:val="24"/>
          <w:szCs w:val="24"/>
        </w:rPr>
        <w:t>en række ændringer af</w:t>
      </w:r>
      <w:r w:rsidRPr="00AD5EAA">
        <w:rPr>
          <w:rFonts w:ascii="Garamond" w:hAnsi="Garamond"/>
          <w:sz w:val="24"/>
          <w:szCs w:val="24"/>
        </w:rPr>
        <w:t xml:space="preserve"> KMF</w:t>
      </w:r>
      <w:r w:rsidR="003F7ADF">
        <w:rPr>
          <w:rFonts w:ascii="Garamond" w:hAnsi="Garamond"/>
          <w:sz w:val="24"/>
          <w:szCs w:val="24"/>
        </w:rPr>
        <w:t>. S</w:t>
      </w:r>
      <w:r>
        <w:rPr>
          <w:rFonts w:ascii="Garamond" w:hAnsi="Garamond"/>
          <w:sz w:val="24"/>
          <w:szCs w:val="24"/>
        </w:rPr>
        <w:t>igtet med denne rapport er at skitsere og opstille disse ændringer</w:t>
      </w:r>
      <w:r w:rsidR="00073EEF">
        <w:rPr>
          <w:rFonts w:ascii="Garamond" w:hAnsi="Garamond"/>
          <w:sz w:val="24"/>
          <w:szCs w:val="24"/>
        </w:rPr>
        <w:t>, herunder konsekvenser</w:t>
      </w:r>
      <w:r>
        <w:rPr>
          <w:rFonts w:ascii="Garamond" w:hAnsi="Garamond"/>
          <w:sz w:val="24"/>
          <w:szCs w:val="24"/>
        </w:rPr>
        <w:t xml:space="preserve">. </w:t>
      </w:r>
    </w:p>
    <w:p w:rsidR="003F7ADF" w:rsidRDefault="003F7ADF" w:rsidP="002E7981">
      <w:pPr>
        <w:jc w:val="both"/>
        <w:rPr>
          <w:rFonts w:ascii="Garamond" w:hAnsi="Garamond"/>
          <w:sz w:val="24"/>
          <w:szCs w:val="24"/>
        </w:rPr>
      </w:pPr>
      <w:r>
        <w:rPr>
          <w:rFonts w:ascii="Garamond" w:hAnsi="Garamond"/>
          <w:sz w:val="24"/>
          <w:szCs w:val="24"/>
        </w:rPr>
        <w:t>Ændringerne skal ses i lyset af hensynene bag kommunalreformens elementer på sundhedsområdet</w:t>
      </w:r>
      <w:r w:rsidR="002E7981">
        <w:rPr>
          <w:rFonts w:ascii="Garamond" w:hAnsi="Garamond"/>
          <w:sz w:val="24"/>
          <w:szCs w:val="24"/>
        </w:rPr>
        <w:t>. De</w:t>
      </w:r>
      <w:r w:rsidRPr="00CC425F">
        <w:rPr>
          <w:rFonts w:ascii="Garamond" w:hAnsi="Garamond"/>
          <w:sz w:val="24"/>
          <w:szCs w:val="24"/>
        </w:rPr>
        <w:t xml:space="preserve"> kommende års udfordringer med et øget behandlingspres på sundhedsvæsenet </w:t>
      </w:r>
      <w:r w:rsidR="002E7981">
        <w:rPr>
          <w:rFonts w:ascii="Garamond" w:hAnsi="Garamond"/>
          <w:sz w:val="24"/>
          <w:szCs w:val="24"/>
        </w:rPr>
        <w:t>(</w:t>
      </w:r>
      <w:r w:rsidRPr="00CC425F">
        <w:rPr>
          <w:rFonts w:ascii="Garamond" w:hAnsi="Garamond"/>
          <w:sz w:val="24"/>
          <w:szCs w:val="24"/>
        </w:rPr>
        <w:t>bl.a. som følge af flere ældre og flere kroniske patienter</w:t>
      </w:r>
      <w:r w:rsidR="002E7981">
        <w:rPr>
          <w:rFonts w:ascii="Garamond" w:hAnsi="Garamond"/>
          <w:sz w:val="24"/>
          <w:szCs w:val="24"/>
        </w:rPr>
        <w:t>)</w:t>
      </w:r>
      <w:r w:rsidRPr="00CC425F">
        <w:rPr>
          <w:rFonts w:ascii="Garamond" w:hAnsi="Garamond"/>
          <w:sz w:val="24"/>
          <w:szCs w:val="24"/>
        </w:rPr>
        <w:t xml:space="preserve"> understreger vigtigheden af en effektiv og rettidig forebyggelsesindsats</w:t>
      </w:r>
      <w:r>
        <w:rPr>
          <w:rFonts w:ascii="Garamond" w:hAnsi="Garamond"/>
          <w:sz w:val="24"/>
          <w:szCs w:val="24"/>
        </w:rPr>
        <w:t>,</w:t>
      </w:r>
      <w:r w:rsidRPr="00CC425F">
        <w:rPr>
          <w:rFonts w:ascii="Garamond" w:hAnsi="Garamond"/>
          <w:sz w:val="24"/>
          <w:szCs w:val="24"/>
        </w:rPr>
        <w:t xml:space="preserve"> og </w:t>
      </w:r>
      <w:r>
        <w:rPr>
          <w:rFonts w:ascii="Garamond" w:hAnsi="Garamond"/>
          <w:sz w:val="24"/>
          <w:szCs w:val="24"/>
        </w:rPr>
        <w:t xml:space="preserve">hertil </w:t>
      </w:r>
      <w:r w:rsidRPr="00CC425F">
        <w:rPr>
          <w:rFonts w:ascii="Garamond" w:hAnsi="Garamond"/>
          <w:sz w:val="24"/>
          <w:szCs w:val="24"/>
        </w:rPr>
        <w:t xml:space="preserve">sammenhæng i behandlingen for de patienter, der går på tværs af sektorer. </w:t>
      </w:r>
      <w:r w:rsidR="00073EEF">
        <w:rPr>
          <w:rFonts w:ascii="Garamond" w:hAnsi="Garamond"/>
          <w:sz w:val="24"/>
          <w:szCs w:val="24"/>
        </w:rPr>
        <w:t xml:space="preserve">Det stiller også krav til en målrettet finansieringsstruktur mellem kommuner og regioner, der understøtter LEON-princippet og den rette adfærd. </w:t>
      </w:r>
    </w:p>
    <w:p w:rsidR="00985CCD" w:rsidRPr="00985CCD" w:rsidRDefault="00985CCD" w:rsidP="002E7981">
      <w:pPr>
        <w:pStyle w:val="Overskrift1"/>
        <w:jc w:val="both"/>
        <w:rPr>
          <w:b w:val="0"/>
          <w:color w:val="17365D" w:themeColor="text2" w:themeShade="BF"/>
        </w:rPr>
      </w:pPr>
      <w:bookmarkStart w:id="2" w:name="_Toc451358717"/>
      <w:r w:rsidRPr="00985CCD">
        <w:rPr>
          <w:b w:val="0"/>
          <w:color w:val="17365D" w:themeColor="text2" w:themeShade="BF"/>
        </w:rPr>
        <w:t>1.2 Sammenfatning</w:t>
      </w:r>
      <w:bookmarkEnd w:id="2"/>
    </w:p>
    <w:p w:rsidR="0070491D" w:rsidRPr="0070491D" w:rsidRDefault="0070491D" w:rsidP="002E7981">
      <w:pPr>
        <w:jc w:val="both"/>
        <w:rPr>
          <w:rFonts w:ascii="Garamond" w:hAnsi="Garamond"/>
          <w:sz w:val="24"/>
          <w:szCs w:val="24"/>
        </w:rPr>
      </w:pPr>
      <w:r w:rsidRPr="0070491D">
        <w:rPr>
          <w:rFonts w:ascii="Garamond" w:hAnsi="Garamond"/>
          <w:sz w:val="24"/>
          <w:szCs w:val="24"/>
        </w:rPr>
        <w:t>Med sigte</w:t>
      </w:r>
      <w:r w:rsidR="0061476D">
        <w:rPr>
          <w:rFonts w:ascii="Garamond" w:hAnsi="Garamond"/>
          <w:sz w:val="24"/>
          <w:szCs w:val="24"/>
        </w:rPr>
        <w:t>t om</w:t>
      </w:r>
      <w:r w:rsidRPr="0070491D">
        <w:rPr>
          <w:rFonts w:ascii="Garamond" w:hAnsi="Garamond"/>
          <w:sz w:val="24"/>
          <w:szCs w:val="24"/>
        </w:rPr>
        <w:t xml:space="preserve">, at KMF i </w:t>
      </w:r>
      <w:r w:rsidR="00073EEF">
        <w:rPr>
          <w:rFonts w:ascii="Garamond" w:hAnsi="Garamond"/>
          <w:sz w:val="24"/>
          <w:szCs w:val="24"/>
        </w:rPr>
        <w:t xml:space="preserve">endnu </w:t>
      </w:r>
      <w:r w:rsidRPr="0070491D">
        <w:rPr>
          <w:rFonts w:ascii="Garamond" w:hAnsi="Garamond"/>
          <w:sz w:val="24"/>
          <w:szCs w:val="24"/>
        </w:rPr>
        <w:t xml:space="preserve">højere grad </w:t>
      </w:r>
      <w:r w:rsidR="00632EFC">
        <w:rPr>
          <w:rFonts w:ascii="Garamond" w:hAnsi="Garamond"/>
          <w:sz w:val="24"/>
          <w:szCs w:val="24"/>
        </w:rPr>
        <w:t>skal understøtte</w:t>
      </w:r>
      <w:r w:rsidRPr="0070491D">
        <w:rPr>
          <w:rFonts w:ascii="Garamond" w:hAnsi="Garamond"/>
          <w:sz w:val="24"/>
          <w:szCs w:val="24"/>
        </w:rPr>
        <w:t xml:space="preserve"> </w:t>
      </w:r>
      <w:r w:rsidR="00632EFC">
        <w:rPr>
          <w:rFonts w:ascii="Garamond" w:hAnsi="Garamond"/>
          <w:sz w:val="24"/>
          <w:szCs w:val="24"/>
        </w:rPr>
        <w:t>hensigten med ordningen</w:t>
      </w:r>
      <w:r w:rsidRPr="0070491D">
        <w:rPr>
          <w:rFonts w:ascii="Garamond" w:hAnsi="Garamond"/>
          <w:sz w:val="24"/>
          <w:szCs w:val="24"/>
        </w:rPr>
        <w:t>, er der set på følgende ændringer:</w:t>
      </w:r>
    </w:p>
    <w:p w:rsidR="00013753" w:rsidRPr="002E7981" w:rsidRDefault="002E7981" w:rsidP="002E7981">
      <w:pPr>
        <w:pStyle w:val="Listeafsnit"/>
        <w:numPr>
          <w:ilvl w:val="0"/>
          <w:numId w:val="16"/>
        </w:numPr>
        <w:spacing w:line="276" w:lineRule="auto"/>
        <w:ind w:left="284" w:hanging="284"/>
        <w:jc w:val="both"/>
      </w:pPr>
      <w:r w:rsidRPr="002E7981">
        <w:t>en</w:t>
      </w:r>
      <w:r w:rsidR="00013753" w:rsidRPr="002E7981">
        <w:t xml:space="preserve"> differentier</w:t>
      </w:r>
      <w:r>
        <w:t>et KMF</w:t>
      </w:r>
      <w:r w:rsidR="00013753" w:rsidRPr="002E7981">
        <w:t xml:space="preserve"> efter alder, så </w:t>
      </w:r>
      <w:r w:rsidR="009B2E5B">
        <w:t>betalingen varierer afspejlende de</w:t>
      </w:r>
      <w:r w:rsidR="00013753" w:rsidRPr="002E7981">
        <w:t xml:space="preserve"> kommunale muligheder </w:t>
      </w:r>
      <w:r w:rsidR="0017212C">
        <w:t xml:space="preserve">for </w:t>
      </w:r>
      <w:r w:rsidR="009B2E5B">
        <w:t>forebyggelse</w:t>
      </w:r>
      <w:r w:rsidR="00013753" w:rsidRPr="002E7981">
        <w:t>, der hvor kommunerne i forvejen har kontakt med borgerne</w:t>
      </w:r>
      <w:r w:rsidR="003F7ADF" w:rsidRPr="002E7981">
        <w:t>.</w:t>
      </w:r>
      <w:r w:rsidR="00013753" w:rsidRPr="002E7981">
        <w:t xml:space="preserve"> </w:t>
      </w:r>
    </w:p>
    <w:p w:rsidR="00224F06" w:rsidRDefault="00224F06" w:rsidP="002E7981">
      <w:pPr>
        <w:spacing w:after="0"/>
        <w:ind w:left="284" w:hanging="284"/>
        <w:jc w:val="both"/>
        <w:rPr>
          <w:rFonts w:ascii="Garamond" w:hAnsi="Garamond"/>
          <w:i/>
          <w:sz w:val="24"/>
          <w:szCs w:val="24"/>
        </w:rPr>
      </w:pPr>
    </w:p>
    <w:p w:rsidR="0070491D" w:rsidRPr="00013753" w:rsidRDefault="002E7981" w:rsidP="002E7981">
      <w:pPr>
        <w:pStyle w:val="Listeafsnit"/>
        <w:numPr>
          <w:ilvl w:val="0"/>
          <w:numId w:val="16"/>
        </w:numPr>
        <w:spacing w:line="276" w:lineRule="auto"/>
        <w:ind w:left="284" w:hanging="284"/>
        <w:jc w:val="both"/>
      </w:pPr>
      <w:r>
        <w:t>en ændret beregning</w:t>
      </w:r>
      <w:r w:rsidR="0070491D" w:rsidRPr="00013753">
        <w:t xml:space="preserve"> af KMF, så der kun sker kommunal betaling for ét indlæggelsesforløb for en patient inden for samme region, i stedet for pr. udskrivning fra et sygehus. Derved fjernes</w:t>
      </w:r>
      <w:r w:rsidR="003F7ADF">
        <w:t xml:space="preserve"> de merudgifter, som en kommune </w:t>
      </w:r>
      <w:r w:rsidR="0070491D" w:rsidRPr="00013753">
        <w:t>afholder</w:t>
      </w:r>
      <w:r>
        <w:t xml:space="preserve"> </w:t>
      </w:r>
      <w:r w:rsidR="0070491D" w:rsidRPr="00013753">
        <w:t>ved den nuværende ordning, når en borger overflyttes mellem hospitaler i samme region</w:t>
      </w:r>
      <w:r w:rsidR="003F7ADF" w:rsidRPr="002E7981">
        <w:t>.</w:t>
      </w:r>
      <w:r w:rsidR="0070491D" w:rsidRPr="00013753">
        <w:t xml:space="preserve"> </w:t>
      </w:r>
    </w:p>
    <w:p w:rsidR="00224F06" w:rsidRPr="002E7981" w:rsidRDefault="00224F06" w:rsidP="002E7981">
      <w:pPr>
        <w:pStyle w:val="Listeafsnit"/>
        <w:spacing w:line="276" w:lineRule="auto"/>
        <w:ind w:left="284" w:hanging="284"/>
        <w:jc w:val="both"/>
      </w:pPr>
    </w:p>
    <w:p w:rsidR="003F7ADF" w:rsidRDefault="002E7981" w:rsidP="002E7981">
      <w:pPr>
        <w:pStyle w:val="Listeafsnit"/>
        <w:numPr>
          <w:ilvl w:val="0"/>
          <w:numId w:val="16"/>
        </w:numPr>
        <w:spacing w:line="276" w:lineRule="auto"/>
        <w:ind w:left="284" w:hanging="284"/>
        <w:jc w:val="both"/>
      </w:pPr>
      <w:r>
        <w:t>en justeret</w:t>
      </w:r>
      <w:r w:rsidR="00224F06" w:rsidRPr="002E7981">
        <w:t xml:space="preserve"> </w:t>
      </w:r>
      <w:r w:rsidR="003F7ADF" w:rsidRPr="00013753">
        <w:t>tilbage</w:t>
      </w:r>
      <w:r>
        <w:t>betalingsmekanisme</w:t>
      </w:r>
      <w:r w:rsidR="003F7ADF" w:rsidRPr="00013753">
        <w:t xml:space="preserve"> af KMF ud over de regionale lofter, så kommunerne i regioner med merudgifter (større sygehusforbrug i forhold til det forudsatte loft) i højere grad kompenseres </w:t>
      </w:r>
      <w:r w:rsidR="003F7ADF">
        <w:t>i forhold til deres udgifter</w:t>
      </w:r>
      <w:r w:rsidR="003F7ADF" w:rsidRPr="00013753">
        <w:t xml:space="preserve">. </w:t>
      </w:r>
    </w:p>
    <w:p w:rsidR="00224F06" w:rsidRPr="002E7981" w:rsidRDefault="00224F06" w:rsidP="002E7981">
      <w:pPr>
        <w:pStyle w:val="Listeafsnit"/>
        <w:spacing w:line="276" w:lineRule="auto"/>
        <w:ind w:left="284" w:hanging="284"/>
        <w:jc w:val="both"/>
      </w:pPr>
    </w:p>
    <w:p w:rsidR="00013753" w:rsidRPr="00013753" w:rsidRDefault="002E7981" w:rsidP="002E7981">
      <w:pPr>
        <w:pStyle w:val="Listeafsnit"/>
        <w:numPr>
          <w:ilvl w:val="0"/>
          <w:numId w:val="16"/>
        </w:numPr>
        <w:spacing w:line="276" w:lineRule="auto"/>
        <w:ind w:left="284" w:hanging="284"/>
        <w:jc w:val="both"/>
      </w:pPr>
      <w:r>
        <w:t>en afkoblet KMF</w:t>
      </w:r>
      <w:r w:rsidR="00013753" w:rsidRPr="00013753">
        <w:t xml:space="preserve"> fra den marginale aktivitetsbestemte finansiering af regionerne, så </w:t>
      </w:r>
      <w:r>
        <w:t xml:space="preserve">ordningen </w:t>
      </w:r>
      <w:r w:rsidR="00013753" w:rsidRPr="00013753">
        <w:t>i praksis ikke længere kan påvirke den regionale adfærd.</w:t>
      </w:r>
    </w:p>
    <w:p w:rsidR="00224F06" w:rsidRPr="002E7981" w:rsidRDefault="00224F06" w:rsidP="002E7981">
      <w:pPr>
        <w:pStyle w:val="Listeafsnit"/>
        <w:spacing w:line="276" w:lineRule="auto"/>
        <w:ind w:left="284" w:hanging="284"/>
        <w:jc w:val="both"/>
      </w:pPr>
    </w:p>
    <w:p w:rsidR="00013753" w:rsidRDefault="002E7981" w:rsidP="002E7981">
      <w:pPr>
        <w:pStyle w:val="Listeafsnit"/>
        <w:numPr>
          <w:ilvl w:val="0"/>
          <w:numId w:val="16"/>
        </w:numPr>
        <w:spacing w:line="276" w:lineRule="auto"/>
        <w:ind w:left="284" w:hanging="284"/>
        <w:jc w:val="both"/>
      </w:pPr>
      <w:r>
        <w:t>en øget gennemsigtighed</w:t>
      </w:r>
      <w:r w:rsidR="00013753" w:rsidRPr="00013753">
        <w:t xml:space="preserve"> og enkelthed i afregningen af</w:t>
      </w:r>
      <w:r w:rsidR="00913907">
        <w:t xml:space="preserve"> den kommunale medfinansiering</w:t>
      </w:r>
      <w:r w:rsidR="003F7ADF">
        <w:t xml:space="preserve"> </w:t>
      </w:r>
      <w:r w:rsidR="00013753" w:rsidRPr="00013753">
        <w:t>bl.a. styrke</w:t>
      </w:r>
      <w:r w:rsidR="003F7ADF">
        <w:t>s</w:t>
      </w:r>
      <w:r w:rsidR="00013753" w:rsidRPr="00013753">
        <w:t xml:space="preserve"> informationsgraden i faktura og i standardrapporter fra KØS. </w:t>
      </w:r>
    </w:p>
    <w:p w:rsidR="00224F06" w:rsidRDefault="00224F06" w:rsidP="002E7981">
      <w:pPr>
        <w:spacing w:after="0"/>
        <w:jc w:val="both"/>
        <w:rPr>
          <w:rFonts w:ascii="Garamond" w:hAnsi="Garamond"/>
          <w:sz w:val="24"/>
          <w:szCs w:val="24"/>
        </w:rPr>
      </w:pPr>
    </w:p>
    <w:p w:rsidR="00913907" w:rsidRDefault="00913907" w:rsidP="002E7981">
      <w:pPr>
        <w:jc w:val="both"/>
        <w:rPr>
          <w:rFonts w:ascii="Garamond" w:hAnsi="Garamond"/>
          <w:i/>
          <w:sz w:val="24"/>
          <w:szCs w:val="24"/>
        </w:rPr>
      </w:pPr>
      <w:r>
        <w:rPr>
          <w:rFonts w:ascii="Garamond" w:hAnsi="Garamond"/>
          <w:sz w:val="24"/>
          <w:szCs w:val="24"/>
        </w:rPr>
        <w:t xml:space="preserve">Flere af ændringerne er blevet </w:t>
      </w:r>
      <w:r w:rsidR="003F7ADF">
        <w:rPr>
          <w:rFonts w:ascii="Garamond" w:hAnsi="Garamond"/>
          <w:sz w:val="24"/>
          <w:szCs w:val="24"/>
        </w:rPr>
        <w:t>nævnt</w:t>
      </w:r>
      <w:r>
        <w:rPr>
          <w:rFonts w:ascii="Garamond" w:hAnsi="Garamond"/>
          <w:sz w:val="24"/>
          <w:szCs w:val="24"/>
        </w:rPr>
        <w:t xml:space="preserve"> og anbefal</w:t>
      </w:r>
      <w:r w:rsidR="003F7ADF">
        <w:rPr>
          <w:rFonts w:ascii="Garamond" w:hAnsi="Garamond"/>
          <w:sz w:val="24"/>
          <w:szCs w:val="24"/>
        </w:rPr>
        <w:t>e</w:t>
      </w:r>
      <w:r>
        <w:rPr>
          <w:rFonts w:ascii="Garamond" w:hAnsi="Garamond"/>
          <w:sz w:val="24"/>
          <w:szCs w:val="24"/>
        </w:rPr>
        <w:t>t i KLs sundhedsudspil 2016 (Sammen og sundhed)</w:t>
      </w:r>
      <w:r w:rsidR="003F7ADF">
        <w:rPr>
          <w:rFonts w:ascii="Garamond" w:hAnsi="Garamond"/>
          <w:sz w:val="24"/>
          <w:szCs w:val="24"/>
        </w:rPr>
        <w:t xml:space="preserve">, </w:t>
      </w:r>
      <w:r w:rsidR="003F7ADF" w:rsidRPr="003F7ADF">
        <w:rPr>
          <w:rFonts w:ascii="Garamond" w:hAnsi="Garamond"/>
          <w:i/>
          <w:sz w:val="24"/>
          <w:szCs w:val="24"/>
        </w:rPr>
        <w:t>jf</w:t>
      </w:r>
      <w:r w:rsidR="00F548A3">
        <w:rPr>
          <w:rFonts w:ascii="Garamond" w:hAnsi="Garamond"/>
          <w:i/>
          <w:sz w:val="24"/>
          <w:szCs w:val="24"/>
        </w:rPr>
        <w:t>.</w:t>
      </w:r>
      <w:r w:rsidR="003F7ADF" w:rsidRPr="003F7ADF">
        <w:rPr>
          <w:rFonts w:ascii="Garamond" w:hAnsi="Garamond"/>
          <w:i/>
          <w:sz w:val="24"/>
          <w:szCs w:val="24"/>
        </w:rPr>
        <w:t xml:space="preserve"> boks 1. </w:t>
      </w:r>
    </w:p>
    <w:tbl>
      <w:tblPr>
        <w:tblStyle w:val="Tabel-Gitter"/>
        <w:tblW w:w="7513"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513"/>
      </w:tblGrid>
      <w:tr w:rsidR="00A443C8" w:rsidRPr="002739BB" w:rsidTr="008E796A">
        <w:tc>
          <w:tcPr>
            <w:tcW w:w="7513" w:type="dxa"/>
            <w:tcBorders>
              <w:top w:val="single" w:sz="12" w:space="0" w:color="auto"/>
              <w:left w:val="nil"/>
              <w:bottom w:val="nil"/>
              <w:right w:val="nil"/>
            </w:tcBorders>
            <w:shd w:val="clear" w:color="auto" w:fill="E9EFEC"/>
            <w:hideMark/>
          </w:tcPr>
          <w:p w:rsidR="00A443C8" w:rsidRPr="002739BB" w:rsidRDefault="00A443C8" w:rsidP="008E796A">
            <w:pPr>
              <w:spacing w:line="240" w:lineRule="auto"/>
              <w:rPr>
                <w:rFonts w:asciiTheme="minorHAnsi" w:hAnsiTheme="minorHAnsi"/>
                <w:b/>
                <w:color w:val="000000"/>
                <w:sz w:val="16"/>
                <w:szCs w:val="16"/>
              </w:rPr>
            </w:pPr>
            <w:r>
              <w:rPr>
                <w:rFonts w:asciiTheme="minorHAnsi" w:hAnsiTheme="minorHAnsi"/>
                <w:b/>
                <w:sz w:val="16"/>
                <w:szCs w:val="16"/>
              </w:rPr>
              <w:t>Boks 1</w:t>
            </w:r>
            <w:r w:rsidRPr="002739BB">
              <w:rPr>
                <w:rFonts w:asciiTheme="minorHAnsi" w:hAnsiTheme="minorHAnsi"/>
                <w:b/>
                <w:sz w:val="16"/>
                <w:szCs w:val="16"/>
              </w:rPr>
              <w:br/>
            </w:r>
            <w:r w:rsidRPr="00A443C8">
              <w:rPr>
                <w:rFonts w:asciiTheme="minorHAnsi" w:hAnsiTheme="minorHAnsi"/>
                <w:b/>
                <w:sz w:val="16"/>
                <w:szCs w:val="16"/>
              </w:rPr>
              <w:t>KL anbefalinger – ”Sammen om sundhed”</w:t>
            </w:r>
          </w:p>
        </w:tc>
      </w:tr>
      <w:tr w:rsidR="00A443C8" w:rsidRPr="002739BB" w:rsidTr="008E796A">
        <w:tblPrEx>
          <w:tblCellMar>
            <w:left w:w="70" w:type="dxa"/>
            <w:right w:w="70" w:type="dxa"/>
          </w:tblCellMar>
        </w:tblPrEx>
        <w:tc>
          <w:tcPr>
            <w:tcW w:w="7513" w:type="dxa"/>
            <w:tcBorders>
              <w:top w:val="nil"/>
              <w:left w:val="nil"/>
              <w:bottom w:val="nil"/>
              <w:right w:val="single" w:sz="4" w:space="0" w:color="auto"/>
            </w:tcBorders>
            <w:shd w:val="clear" w:color="auto" w:fill="E9EFEC"/>
            <w:hideMark/>
          </w:tcPr>
          <w:p w:rsidR="00A443C8" w:rsidRPr="002739BB" w:rsidRDefault="00A443C8" w:rsidP="008E796A">
            <w:pPr>
              <w:spacing w:line="240" w:lineRule="auto"/>
              <w:jc w:val="both"/>
              <w:rPr>
                <w:rFonts w:asciiTheme="minorHAnsi" w:hAnsiTheme="minorHAnsi"/>
                <w:sz w:val="16"/>
                <w:szCs w:val="16"/>
              </w:rPr>
            </w:pPr>
          </w:p>
        </w:tc>
      </w:tr>
      <w:tr w:rsidR="00A443C8" w:rsidRPr="009C00D1" w:rsidTr="008E796A">
        <w:tc>
          <w:tcPr>
            <w:tcW w:w="7513" w:type="dxa"/>
            <w:tcBorders>
              <w:top w:val="nil"/>
              <w:left w:val="nil"/>
              <w:bottom w:val="single" w:sz="12" w:space="0" w:color="auto"/>
              <w:right w:val="nil"/>
            </w:tcBorders>
            <w:shd w:val="clear" w:color="auto" w:fill="E9EFEC"/>
            <w:vAlign w:val="center"/>
          </w:tcPr>
          <w:p w:rsidR="00A443C8" w:rsidRDefault="00A443C8" w:rsidP="00A443C8">
            <w:pPr>
              <w:jc w:val="both"/>
              <w:rPr>
                <w:rFonts w:asciiTheme="minorHAnsi" w:hAnsiTheme="minorHAnsi"/>
                <w:sz w:val="16"/>
                <w:szCs w:val="16"/>
              </w:rPr>
            </w:pPr>
          </w:p>
          <w:p w:rsidR="00A443C8" w:rsidRPr="00A443C8" w:rsidRDefault="00A443C8" w:rsidP="00A443C8">
            <w:pPr>
              <w:jc w:val="both"/>
              <w:rPr>
                <w:rFonts w:asciiTheme="minorHAnsi" w:hAnsiTheme="minorHAnsi"/>
                <w:sz w:val="16"/>
                <w:szCs w:val="16"/>
              </w:rPr>
            </w:pPr>
            <w:r w:rsidRPr="00A443C8">
              <w:rPr>
                <w:rFonts w:asciiTheme="minorHAnsi" w:hAnsiTheme="minorHAnsi"/>
                <w:sz w:val="16"/>
                <w:szCs w:val="16"/>
              </w:rPr>
              <w:t>I KLs seneste sundhedsudspil ”Sammen om sundhed” anbefaler KL blandt andet følgende ændringer (s. 41):</w:t>
            </w: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r w:rsidRPr="00A443C8">
              <w:rPr>
                <w:rFonts w:asciiTheme="minorHAnsi" w:hAnsiTheme="minorHAnsi"/>
                <w:i/>
                <w:sz w:val="16"/>
                <w:szCs w:val="16"/>
              </w:rPr>
              <w:t>-</w:t>
            </w:r>
            <w:r w:rsidRPr="00A443C8">
              <w:rPr>
                <w:rFonts w:asciiTheme="minorHAnsi" w:hAnsiTheme="minorHAnsi"/>
                <w:i/>
                <w:sz w:val="16"/>
                <w:szCs w:val="16"/>
              </w:rPr>
              <w:tab/>
              <w:t>”At regeringen justerer den kommunale medfinansiering”….”efterregulering af afregnet medfinansiering, der ligger over det regionale loft, tilbageføres til kommunerne dér, hvor overskridelsen har fundet sted.</w:t>
            </w: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r w:rsidRPr="00A443C8">
              <w:rPr>
                <w:rFonts w:asciiTheme="minorHAnsi" w:hAnsiTheme="minorHAnsi"/>
                <w:i/>
                <w:sz w:val="16"/>
                <w:szCs w:val="16"/>
              </w:rPr>
              <w:t>-</w:t>
            </w:r>
            <w:r w:rsidRPr="00A443C8">
              <w:rPr>
                <w:rFonts w:asciiTheme="minorHAnsi" w:hAnsiTheme="minorHAnsi"/>
                <w:i/>
                <w:sz w:val="16"/>
                <w:szCs w:val="16"/>
              </w:rPr>
              <w:tab/>
              <w:t xml:space="preserve">”At regeringen differentierer taksterne for kommunal medfinansiering, så medfinansiering i højere grad afspejler kommunernes påvirkningsmulighed”. </w:t>
            </w: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r w:rsidRPr="00A443C8">
              <w:rPr>
                <w:rFonts w:asciiTheme="minorHAnsi" w:hAnsiTheme="minorHAnsi"/>
                <w:i/>
                <w:sz w:val="16"/>
                <w:szCs w:val="16"/>
              </w:rPr>
              <w:t>-</w:t>
            </w:r>
            <w:r w:rsidRPr="00A443C8">
              <w:rPr>
                <w:rFonts w:asciiTheme="minorHAnsi" w:hAnsiTheme="minorHAnsi"/>
                <w:i/>
                <w:sz w:val="16"/>
                <w:szCs w:val="16"/>
              </w:rPr>
              <w:tab/>
              <w:t>”At regeringen sikrer, at der ikke kan opkræves kommunal medfinansiering, når patienter bliver overflyttet mellem afdelinger eller sygehuse”.</w:t>
            </w: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p>
          <w:p w:rsidR="00A443C8" w:rsidRPr="00A443C8" w:rsidRDefault="00A443C8" w:rsidP="00A443C8">
            <w:pPr>
              <w:pStyle w:val="Listeafsnit"/>
              <w:tabs>
                <w:tab w:val="clear" w:pos="340"/>
              </w:tabs>
              <w:spacing w:line="240" w:lineRule="auto"/>
              <w:ind w:left="176" w:hanging="142"/>
              <w:jc w:val="both"/>
              <w:rPr>
                <w:rFonts w:asciiTheme="minorHAnsi" w:hAnsiTheme="minorHAnsi"/>
                <w:i/>
                <w:sz w:val="16"/>
                <w:szCs w:val="16"/>
              </w:rPr>
            </w:pPr>
            <w:r w:rsidRPr="00A443C8">
              <w:rPr>
                <w:rFonts w:asciiTheme="minorHAnsi" w:hAnsiTheme="minorHAnsi"/>
                <w:i/>
                <w:sz w:val="16"/>
                <w:szCs w:val="16"/>
              </w:rPr>
              <w:t>-</w:t>
            </w:r>
            <w:r w:rsidRPr="00A443C8">
              <w:rPr>
                <w:rFonts w:asciiTheme="minorHAnsi" w:hAnsiTheme="minorHAnsi"/>
                <w:i/>
                <w:sz w:val="16"/>
                <w:szCs w:val="16"/>
              </w:rPr>
              <w:tab/>
              <w:t xml:space="preserve">”At regeringen ændrer mekanismen for fastsættelse af lofterne for regionernes indtægt fra kommunal medfinansiering. Dels skal regionerne tidligere opnå deres finansiering fra medfinansiering fx ved at lofterne ligger lavere end aktivitetspuljen. Dels skal fastsættelsen af regionernes lofter ikke (alene) defineres af seneste opgjorte aktivitetsniveau.” </w:t>
            </w:r>
          </w:p>
          <w:p w:rsidR="00A443C8" w:rsidRPr="00A443C8" w:rsidRDefault="00A443C8" w:rsidP="00A443C8">
            <w:pPr>
              <w:pStyle w:val="Listeafsnit"/>
              <w:spacing w:line="240" w:lineRule="auto"/>
              <w:jc w:val="both"/>
              <w:rPr>
                <w:rFonts w:asciiTheme="minorHAnsi" w:hAnsiTheme="minorHAnsi"/>
                <w:sz w:val="16"/>
                <w:szCs w:val="16"/>
              </w:rPr>
            </w:pPr>
          </w:p>
          <w:p w:rsidR="00A443C8" w:rsidRPr="009C00D1" w:rsidRDefault="00A443C8" w:rsidP="00A443C8">
            <w:pPr>
              <w:pStyle w:val="Listeafsnit"/>
              <w:numPr>
                <w:ilvl w:val="0"/>
                <w:numId w:val="16"/>
              </w:numPr>
              <w:tabs>
                <w:tab w:val="clear" w:pos="340"/>
              </w:tabs>
              <w:spacing w:line="240" w:lineRule="auto"/>
              <w:ind w:left="176" w:hanging="142"/>
              <w:jc w:val="both"/>
              <w:rPr>
                <w:rFonts w:asciiTheme="minorHAnsi" w:hAnsiTheme="minorHAnsi"/>
                <w:sz w:val="16"/>
                <w:szCs w:val="16"/>
              </w:rPr>
            </w:pPr>
            <w:r w:rsidRPr="00A443C8">
              <w:rPr>
                <w:rFonts w:asciiTheme="minorHAnsi" w:hAnsiTheme="minorHAnsi"/>
                <w:i/>
                <w:sz w:val="16"/>
                <w:szCs w:val="16"/>
              </w:rPr>
              <w:t>”At regeringen sikrer, at kommunerne får adgang til relevante data og relevante koblingsmuligheder på relevant niveau til brug for planlægning og opfølgning af forebyggelsesindsatsen ”</w:t>
            </w:r>
          </w:p>
        </w:tc>
      </w:tr>
    </w:tbl>
    <w:p w:rsidR="00985CCD" w:rsidRDefault="00A25032" w:rsidP="00985CCD">
      <w:pPr>
        <w:pStyle w:val="Overskrift1"/>
        <w:jc w:val="both"/>
        <w:rPr>
          <w:b w:val="0"/>
          <w:color w:val="17365D" w:themeColor="text2" w:themeShade="BF"/>
        </w:rPr>
      </w:pPr>
      <w:bookmarkStart w:id="3" w:name="_Toc451358718"/>
      <w:r>
        <w:rPr>
          <w:b w:val="0"/>
          <w:color w:val="17365D" w:themeColor="text2" w:themeShade="BF"/>
        </w:rPr>
        <w:t>1</w:t>
      </w:r>
      <w:r w:rsidR="00985CCD" w:rsidRPr="00723AB4">
        <w:rPr>
          <w:b w:val="0"/>
          <w:color w:val="17365D" w:themeColor="text2" w:themeShade="BF"/>
        </w:rPr>
        <w:t xml:space="preserve">.3 </w:t>
      </w:r>
      <w:r w:rsidR="00D60CDB">
        <w:rPr>
          <w:b w:val="0"/>
          <w:color w:val="17365D" w:themeColor="text2" w:themeShade="BF"/>
        </w:rPr>
        <w:t>Evalueringen af den kommunale medfinansiering (2015)</w:t>
      </w:r>
      <w:bookmarkEnd w:id="3"/>
    </w:p>
    <w:p w:rsidR="00D60CDB" w:rsidRDefault="00D60CDB" w:rsidP="00D60CDB">
      <w:pPr>
        <w:spacing w:after="0"/>
        <w:jc w:val="both"/>
      </w:pPr>
      <w:r>
        <w:rPr>
          <w:rFonts w:ascii="Garamond" w:hAnsi="Garamond"/>
          <w:sz w:val="24"/>
          <w:szCs w:val="24"/>
        </w:rPr>
        <w:t>I evalueringen af</w:t>
      </w:r>
      <w:r w:rsidR="001E2E6A">
        <w:rPr>
          <w:rFonts w:ascii="Garamond" w:hAnsi="Garamond"/>
          <w:sz w:val="24"/>
          <w:szCs w:val="24"/>
        </w:rPr>
        <w:t xml:space="preserve"> den kommunale medfinansiering fra</w:t>
      </w:r>
      <w:r>
        <w:rPr>
          <w:rFonts w:ascii="Garamond" w:hAnsi="Garamond"/>
          <w:sz w:val="24"/>
          <w:szCs w:val="24"/>
        </w:rPr>
        <w:t xml:space="preserve"> 2015 blev der </w:t>
      </w:r>
      <w:r w:rsidR="001E2E6A">
        <w:rPr>
          <w:rFonts w:ascii="Garamond" w:hAnsi="Garamond"/>
          <w:sz w:val="24"/>
          <w:szCs w:val="24"/>
        </w:rPr>
        <w:t>gennemført fire</w:t>
      </w:r>
      <w:r w:rsidRPr="00D60CDB">
        <w:rPr>
          <w:rFonts w:ascii="Garamond" w:hAnsi="Garamond"/>
          <w:sz w:val="24"/>
          <w:szCs w:val="24"/>
        </w:rPr>
        <w:t xml:space="preserve"> selvstændige analyser:</w:t>
      </w:r>
    </w:p>
    <w:p w:rsidR="00D60CDB" w:rsidRDefault="00D60CDB" w:rsidP="00DA3889">
      <w:pPr>
        <w:pStyle w:val="Listeafsnit"/>
        <w:numPr>
          <w:ilvl w:val="0"/>
          <w:numId w:val="21"/>
        </w:numPr>
        <w:spacing w:line="276" w:lineRule="auto"/>
        <w:ind w:left="284" w:hanging="284"/>
        <w:jc w:val="both"/>
      </w:pPr>
      <w:r w:rsidRPr="00DA3889">
        <w:t>Kvalitativ analyse af betydning og effekt af den kommunale medfinansiering på sundhedsområdet i kommuner og regioner.</w:t>
      </w:r>
    </w:p>
    <w:p w:rsidR="00D60CDB" w:rsidRPr="00DA3889" w:rsidRDefault="00D60CDB" w:rsidP="00DA3889">
      <w:pPr>
        <w:pStyle w:val="Listeafsnit"/>
        <w:numPr>
          <w:ilvl w:val="0"/>
          <w:numId w:val="21"/>
        </w:numPr>
        <w:ind w:left="284" w:hanging="284"/>
        <w:jc w:val="both"/>
      </w:pPr>
      <w:r w:rsidRPr="00DA3889">
        <w:t>Analyse af virkningerne for den kommunale og regionale økonomi af den kommunale medfinansiering af sundhedsvæsenet.</w:t>
      </w:r>
    </w:p>
    <w:p w:rsidR="00D60CDB" w:rsidRPr="00DA3889" w:rsidRDefault="00D60CDB" w:rsidP="00DA3889">
      <w:pPr>
        <w:pStyle w:val="Listeafsnit"/>
        <w:numPr>
          <w:ilvl w:val="0"/>
          <w:numId w:val="21"/>
        </w:numPr>
        <w:ind w:left="284" w:hanging="284"/>
        <w:jc w:val="both"/>
      </w:pPr>
      <w:r w:rsidRPr="00DA3889">
        <w:t>Kvantitativ afdækning af den kommunale medfinansierings foreløbige resultater på den kommunale forebyggelsesindsats.</w:t>
      </w:r>
    </w:p>
    <w:p w:rsidR="00D60CDB" w:rsidRPr="00DA3889" w:rsidRDefault="00D60CDB" w:rsidP="00DA3889">
      <w:pPr>
        <w:pStyle w:val="Listeafsnit"/>
        <w:numPr>
          <w:ilvl w:val="0"/>
          <w:numId w:val="21"/>
        </w:numPr>
        <w:ind w:left="284" w:hanging="284"/>
        <w:jc w:val="both"/>
      </w:pPr>
      <w:r w:rsidRPr="00DA3889">
        <w:t xml:space="preserve">Beskrivelse af incitamentsvirkninger i regionerne. </w:t>
      </w:r>
    </w:p>
    <w:p w:rsidR="00D60CDB" w:rsidRDefault="00D60CDB" w:rsidP="00D60CDB">
      <w:pPr>
        <w:spacing w:after="0"/>
        <w:jc w:val="both"/>
        <w:rPr>
          <w:rFonts w:ascii="Garamond" w:hAnsi="Garamond"/>
          <w:sz w:val="24"/>
          <w:szCs w:val="24"/>
        </w:rPr>
      </w:pPr>
    </w:p>
    <w:p w:rsidR="00D60CDB" w:rsidRDefault="00D60CDB" w:rsidP="00D60CDB">
      <w:pPr>
        <w:spacing w:after="0"/>
        <w:jc w:val="both"/>
        <w:rPr>
          <w:rFonts w:ascii="Garamond" w:hAnsi="Garamond"/>
          <w:sz w:val="24"/>
          <w:szCs w:val="24"/>
        </w:rPr>
      </w:pPr>
      <w:r>
        <w:rPr>
          <w:rFonts w:ascii="Garamond" w:hAnsi="Garamond"/>
          <w:sz w:val="24"/>
          <w:szCs w:val="24"/>
        </w:rPr>
        <w:t xml:space="preserve">På baggrund af delanalyserne blev der foretaget en samlet evaluering af ordningen, og fremlagt overvejelser/skitseret et katalog for mulige ændringer af ordningen. </w:t>
      </w:r>
    </w:p>
    <w:p w:rsidR="00D60CDB" w:rsidRDefault="00D60CDB" w:rsidP="00DA3889">
      <w:pPr>
        <w:spacing w:after="0"/>
        <w:jc w:val="both"/>
        <w:rPr>
          <w:rFonts w:ascii="Garamond" w:hAnsi="Garamond"/>
          <w:sz w:val="24"/>
          <w:szCs w:val="24"/>
        </w:rPr>
      </w:pPr>
      <w:r>
        <w:rPr>
          <w:rFonts w:ascii="Garamond" w:hAnsi="Garamond"/>
          <w:sz w:val="24"/>
          <w:szCs w:val="24"/>
        </w:rPr>
        <w:t xml:space="preserve"> </w:t>
      </w:r>
    </w:p>
    <w:p w:rsidR="00D60CDB" w:rsidRPr="00D60CDB" w:rsidRDefault="00D60CDB" w:rsidP="00D60CDB">
      <w:pPr>
        <w:spacing w:after="0"/>
        <w:jc w:val="both"/>
        <w:rPr>
          <w:rFonts w:ascii="Garamond" w:hAnsi="Garamond"/>
          <w:i/>
          <w:sz w:val="24"/>
          <w:szCs w:val="24"/>
        </w:rPr>
      </w:pPr>
      <w:r w:rsidRPr="00D60CDB">
        <w:rPr>
          <w:rFonts w:ascii="Garamond" w:hAnsi="Garamond"/>
          <w:i/>
          <w:sz w:val="24"/>
          <w:szCs w:val="24"/>
        </w:rPr>
        <w:t>Resume af evalueringen</w:t>
      </w:r>
    </w:p>
    <w:p w:rsidR="009671BC" w:rsidRDefault="009671BC" w:rsidP="009671BC">
      <w:pPr>
        <w:jc w:val="both"/>
        <w:rPr>
          <w:rFonts w:ascii="Garamond" w:hAnsi="Garamond"/>
          <w:sz w:val="24"/>
          <w:szCs w:val="24"/>
        </w:rPr>
      </w:pPr>
      <w:r w:rsidRPr="009671BC">
        <w:rPr>
          <w:rFonts w:ascii="Garamond" w:hAnsi="Garamond"/>
          <w:sz w:val="24"/>
          <w:szCs w:val="24"/>
        </w:rPr>
        <w:t xml:space="preserve">Evalueringen </w:t>
      </w:r>
      <w:r w:rsidR="00D60CDB">
        <w:rPr>
          <w:rFonts w:ascii="Garamond" w:hAnsi="Garamond"/>
          <w:sz w:val="24"/>
          <w:szCs w:val="24"/>
        </w:rPr>
        <w:t xml:space="preserve">(kvalitative analyse, punk 1) </w:t>
      </w:r>
      <w:r w:rsidRPr="009671BC">
        <w:rPr>
          <w:rFonts w:ascii="Garamond" w:hAnsi="Garamond"/>
          <w:sz w:val="24"/>
          <w:szCs w:val="24"/>
        </w:rPr>
        <w:t xml:space="preserve">viser overordnet, at medfinansieringen i det kommunale perspektiv lever op til det forudsatte i den forstand, at medfinansieringen har bidraget til et styrket kommunalt fokus på forebyggelses- og plejeopgaven. Selve størrelsen af medfinansieringen til regionerne er en væsentlig faktor for det skærpede kommunale fokus. KMF opleves endvidere af kommunerne som en adkomst og styrke i et samarbejde med regionerne, der generelt ses med risiko for asymmetri. </w:t>
      </w:r>
    </w:p>
    <w:p w:rsidR="00D60CDB" w:rsidRDefault="009671BC" w:rsidP="00D60CDB">
      <w:pPr>
        <w:jc w:val="both"/>
        <w:rPr>
          <w:rFonts w:ascii="Garamond" w:hAnsi="Garamond"/>
          <w:sz w:val="24"/>
          <w:szCs w:val="24"/>
        </w:rPr>
      </w:pPr>
      <w:r w:rsidRPr="00D60CDB">
        <w:rPr>
          <w:rFonts w:ascii="Garamond" w:hAnsi="Garamond"/>
          <w:sz w:val="24"/>
          <w:szCs w:val="24"/>
        </w:rPr>
        <w:t xml:space="preserve">Analysen afdækker også, at mange kommuner ikke oplever at de kan påvirke alle dele af sygehusaktiviteten gennem forebyggelse, hvilket synes at betyde en aftagende effekt af KMF som motiverende faktor i kommunerne. Det kan tale for at genoverveje mulighederne for en differentieret (målrettet) KMF, som senest blev overvejet i KMF-udvalget (2010). </w:t>
      </w:r>
    </w:p>
    <w:p w:rsidR="009671BC" w:rsidRPr="00DA3889" w:rsidRDefault="009671BC" w:rsidP="00DA3889">
      <w:pPr>
        <w:jc w:val="both"/>
        <w:rPr>
          <w:rFonts w:ascii="Garamond" w:hAnsi="Garamond"/>
          <w:sz w:val="24"/>
          <w:szCs w:val="24"/>
        </w:rPr>
      </w:pPr>
      <w:r w:rsidRPr="00DA3889">
        <w:rPr>
          <w:rFonts w:ascii="Garamond" w:hAnsi="Garamond"/>
          <w:sz w:val="24"/>
          <w:szCs w:val="24"/>
        </w:rPr>
        <w:t xml:space="preserve">Evalueringen viser også, at der er grundlag for fortsatte forbedringer af ordningen. Det gælder ift. effekterne af forebyggelsesindsatsen, hvor der fortsat er spredning mellem kommunerne, og det gælder ift. samarbejdet mellem kommuner og regioner, der fungerer flere steder og er blevet væsentligt bedre end i opstarten, men hvor der også udfordringer i forhold til at sikre et tæt og forpligtende samarbejde. </w:t>
      </w:r>
    </w:p>
    <w:p w:rsidR="00D60CDB" w:rsidRPr="00DA3889" w:rsidRDefault="00D60CDB" w:rsidP="00DA3889">
      <w:pPr>
        <w:jc w:val="both"/>
        <w:rPr>
          <w:rFonts w:ascii="Garamond" w:hAnsi="Garamond"/>
          <w:sz w:val="24"/>
          <w:szCs w:val="24"/>
        </w:rPr>
      </w:pPr>
      <w:r w:rsidRPr="00DA3889">
        <w:rPr>
          <w:rFonts w:ascii="Garamond" w:hAnsi="Garamond"/>
          <w:sz w:val="24"/>
          <w:szCs w:val="24"/>
        </w:rPr>
        <w:t xml:space="preserve">Evalueringen (kvantitative kortlægning, punkt 3) viser, at på typiske indikatorer for effekten af den patientrettede forebyggelse, genindlæggelser og forebyggelige indlæggelser, er der sket en positiv udvikling siden 2007. Det kan anvendes som indikator for en rettidig og effektiv kommunal forebyggelse, og forskelle kan indikere potentialer for forbedringer. Genindlæggelser kan dog også skyldes andre forhold, herunder indsatser i regionalt regi. </w:t>
      </w:r>
    </w:p>
    <w:p w:rsidR="00DA3889" w:rsidRDefault="00DA3889" w:rsidP="00DA3889">
      <w:pPr>
        <w:jc w:val="both"/>
      </w:pPr>
      <w:r w:rsidRPr="00DA3889">
        <w:rPr>
          <w:rFonts w:ascii="Garamond" w:hAnsi="Garamond"/>
          <w:sz w:val="24"/>
          <w:szCs w:val="24"/>
        </w:rPr>
        <w:t xml:space="preserve">Set fra regionalt perspektiv </w:t>
      </w:r>
      <w:r>
        <w:rPr>
          <w:rFonts w:ascii="Garamond" w:hAnsi="Garamond"/>
          <w:sz w:val="24"/>
          <w:szCs w:val="24"/>
        </w:rPr>
        <w:t>viser evalueringen</w:t>
      </w:r>
      <w:r w:rsidRPr="009671BC">
        <w:rPr>
          <w:rFonts w:ascii="Garamond" w:hAnsi="Garamond"/>
          <w:sz w:val="24"/>
          <w:szCs w:val="24"/>
        </w:rPr>
        <w:t xml:space="preserve"> </w:t>
      </w:r>
      <w:r>
        <w:rPr>
          <w:rFonts w:ascii="Garamond" w:hAnsi="Garamond"/>
          <w:sz w:val="24"/>
          <w:szCs w:val="24"/>
        </w:rPr>
        <w:t xml:space="preserve">(kvalitative analyse, punk 1) </w:t>
      </w:r>
      <w:r w:rsidR="009671BC" w:rsidRPr="00DA3889">
        <w:rPr>
          <w:rFonts w:ascii="Garamond" w:hAnsi="Garamond"/>
          <w:sz w:val="24"/>
          <w:szCs w:val="24"/>
        </w:rPr>
        <w:t>indikation af en vis skepsis overfor den kommunale medfinansiering set fra det regionale perspektiv. Regionerne ser således i stigende grad KMF som et instrument, der ikke understøtter et godt samarbejde. Det synes at afspejle en generel skepsis i forhold til effekten af den kommunale indsats på den regionale hverdag, men kan også ses i sammenhæng med, at KMF især på to konkrete områder har en selvstændig incitamentsvirkning ind i regionerne i forhold til at levere aktivitet</w:t>
      </w:r>
      <w:r>
        <w:rPr>
          <w:rFonts w:ascii="Garamond" w:hAnsi="Garamond"/>
          <w:sz w:val="24"/>
          <w:szCs w:val="24"/>
        </w:rPr>
        <w:t>(</w:t>
      </w:r>
      <w:r w:rsidRPr="00D60CDB">
        <w:rPr>
          <w:rFonts w:ascii="Garamond" w:hAnsi="Garamond"/>
          <w:i/>
          <w:sz w:val="24"/>
          <w:szCs w:val="24"/>
        </w:rPr>
        <w:t>Beskrivelse af incitamentsvirkninger i regionerne</w:t>
      </w:r>
      <w:r>
        <w:rPr>
          <w:rFonts w:ascii="Garamond" w:hAnsi="Garamond"/>
          <w:i/>
          <w:sz w:val="24"/>
          <w:szCs w:val="24"/>
        </w:rPr>
        <w:t>, punkt 4)</w:t>
      </w:r>
      <w:r w:rsidR="009671BC" w:rsidRPr="00DA3889">
        <w:rPr>
          <w:rFonts w:ascii="Garamond" w:hAnsi="Garamond"/>
          <w:sz w:val="24"/>
          <w:szCs w:val="24"/>
        </w:rPr>
        <w:t>. Det kan give risiko for at modvirke den ønskede bevægelse af patienter ud af sygehusene, ligesom problematikken har byrdefordelingsmæssige virkninger.</w:t>
      </w:r>
      <w:r w:rsidR="009671BC" w:rsidRPr="00C51429">
        <w:t xml:space="preserve"> </w:t>
      </w:r>
    </w:p>
    <w:p w:rsidR="009671BC" w:rsidRPr="00DA3889" w:rsidRDefault="009671BC" w:rsidP="00DA3889">
      <w:pPr>
        <w:jc w:val="both"/>
        <w:rPr>
          <w:rFonts w:ascii="Garamond" w:hAnsi="Garamond"/>
          <w:sz w:val="24"/>
          <w:szCs w:val="24"/>
        </w:rPr>
      </w:pPr>
      <w:r w:rsidRPr="00DA3889">
        <w:rPr>
          <w:rFonts w:ascii="Garamond" w:hAnsi="Garamond"/>
          <w:sz w:val="24"/>
          <w:szCs w:val="24"/>
        </w:rPr>
        <w:t xml:space="preserve">Herudover har evalueringen generelt afdækket forskelle i den kommunale håndtering af KMF. Et element heri synes at være forståelsen af KMF, herunder i hvilket omfang KMF ses som et supplerende økonomisk incitament, der har visse fælles træk med fx overførselsudgifter (og dermed ikke ses som fuldt styrbart med en-til-en sammenhæng mellem konkrete kommunale indsatser og medfinansieringen). Evalueringen viser samtidig, at der ikke fra regional side stilles noget samlet eller løbende analysegrundlag til rådighed for den kommunale indsats. </w:t>
      </w:r>
    </w:p>
    <w:p w:rsidR="009671BC" w:rsidRPr="00DA3889" w:rsidRDefault="009671BC" w:rsidP="00DA3889">
      <w:pPr>
        <w:jc w:val="both"/>
        <w:rPr>
          <w:rFonts w:ascii="Garamond" w:hAnsi="Garamond"/>
          <w:sz w:val="24"/>
          <w:szCs w:val="24"/>
        </w:rPr>
      </w:pPr>
      <w:r w:rsidRPr="00DA3889">
        <w:rPr>
          <w:rFonts w:ascii="Garamond" w:hAnsi="Garamond"/>
          <w:sz w:val="24"/>
          <w:szCs w:val="24"/>
        </w:rPr>
        <w:t xml:space="preserve">Disse sidste konstateringer taler for, at det uanset evt. tilpasninger i selve medfinansieringsordningen overvejes, i et samarbejde mellem Danske Regioner og KL, at kommunikere gode fælles erfaringer for håndteringen og forståelsen af den kommunale medfinansiering. </w:t>
      </w:r>
    </w:p>
    <w:p w:rsidR="009671BC" w:rsidRPr="00DA3889" w:rsidRDefault="009671BC" w:rsidP="00DA3889">
      <w:pPr>
        <w:jc w:val="both"/>
        <w:rPr>
          <w:rFonts w:ascii="Garamond" w:hAnsi="Garamond"/>
          <w:sz w:val="24"/>
          <w:szCs w:val="24"/>
        </w:rPr>
      </w:pPr>
      <w:r w:rsidRPr="00DA3889">
        <w:rPr>
          <w:rFonts w:ascii="Garamond" w:hAnsi="Garamond"/>
          <w:sz w:val="24"/>
          <w:szCs w:val="24"/>
        </w:rPr>
        <w:t xml:space="preserve">En fælles forståelse af, hvad KMF kan og ikke kan, hvilke dataanalyser der kan understøtte en effektiv kommunal pleje, og hvordan og på hvilke emner dialogen mellem regioner og kommuner tilrettelægges, vurderes i sig selv at kunne medvirke til at mindske mulige udfordringer i et samarbejde, der er helt centralt for at sikre sammenhængende og omkostningseffektive løsninger for patienterne. </w:t>
      </w:r>
    </w:p>
    <w:p w:rsidR="00D60CDB" w:rsidRPr="00D60CDB" w:rsidRDefault="00D60CDB" w:rsidP="00D60CDB">
      <w:pPr>
        <w:jc w:val="both"/>
        <w:rPr>
          <w:rFonts w:ascii="Garamond" w:hAnsi="Garamond"/>
          <w:sz w:val="24"/>
          <w:szCs w:val="24"/>
        </w:rPr>
      </w:pPr>
      <w:r>
        <w:rPr>
          <w:rFonts w:ascii="Garamond" w:hAnsi="Garamond"/>
          <w:sz w:val="24"/>
          <w:szCs w:val="24"/>
        </w:rPr>
        <w:t>Evalueringen (</w:t>
      </w:r>
      <w:r w:rsidRPr="009671BC">
        <w:rPr>
          <w:rFonts w:ascii="Garamond" w:hAnsi="Garamond"/>
          <w:sz w:val="24"/>
          <w:szCs w:val="24"/>
        </w:rPr>
        <w:t>kvantitative kortlægning</w:t>
      </w:r>
      <w:r>
        <w:rPr>
          <w:rFonts w:ascii="Garamond" w:hAnsi="Garamond"/>
          <w:sz w:val="24"/>
          <w:szCs w:val="24"/>
        </w:rPr>
        <w:t>, punkt 2)</w:t>
      </w:r>
      <w:r w:rsidRPr="009671BC">
        <w:rPr>
          <w:rFonts w:ascii="Garamond" w:hAnsi="Garamond"/>
          <w:sz w:val="24"/>
          <w:szCs w:val="24"/>
        </w:rPr>
        <w:t xml:space="preserve"> </w:t>
      </w:r>
      <w:r w:rsidRPr="00D60CDB">
        <w:rPr>
          <w:rFonts w:ascii="Garamond" w:hAnsi="Garamond"/>
          <w:sz w:val="24"/>
          <w:szCs w:val="24"/>
        </w:rPr>
        <w:t xml:space="preserve">har ikke konstateret væsentlige byrdefordelingsmæssige effekter af den kommunale medfinansiering. Det svarer til konklusionerne fra tidligere analyser. Kortlægningen har dog vist, at loftfastsættelsen i regionerne giver sig udslag i en øget byrdefordelingsmæssig effekt i konkrete regioner og kommunerne i de pågældende regioner, jf. nærmere om loftsproblematikken nedenfor. </w:t>
      </w:r>
    </w:p>
    <w:p w:rsidR="006E091B" w:rsidRDefault="006E091B">
      <w:pPr>
        <w:rPr>
          <w:rFonts w:asciiTheme="majorHAnsi" w:eastAsiaTheme="majorEastAsia" w:hAnsiTheme="majorHAnsi" w:cstheme="majorBidi"/>
          <w:bCs/>
          <w:color w:val="17365D" w:themeColor="text2" w:themeShade="BF"/>
          <w:sz w:val="36"/>
          <w:szCs w:val="36"/>
        </w:rPr>
      </w:pPr>
      <w:r>
        <w:rPr>
          <w:b/>
          <w:color w:val="17365D" w:themeColor="text2" w:themeShade="BF"/>
          <w:sz w:val="36"/>
          <w:szCs w:val="36"/>
        </w:rPr>
        <w:br w:type="page"/>
      </w:r>
    </w:p>
    <w:p w:rsidR="00B955F1" w:rsidRPr="00B955F1" w:rsidRDefault="00B955F1" w:rsidP="00985CCD">
      <w:pPr>
        <w:pStyle w:val="Overskrift1"/>
        <w:pBdr>
          <w:bottom w:val="single" w:sz="4" w:space="1" w:color="4F81BD" w:themeColor="accent1"/>
        </w:pBdr>
        <w:rPr>
          <w:b w:val="0"/>
          <w:color w:val="17365D" w:themeColor="text2" w:themeShade="BF"/>
          <w:sz w:val="36"/>
          <w:szCs w:val="36"/>
        </w:rPr>
      </w:pPr>
      <w:bookmarkStart w:id="4" w:name="_Toc451358719"/>
      <w:r w:rsidRPr="00B955F1">
        <w:rPr>
          <w:b w:val="0"/>
          <w:color w:val="17365D" w:themeColor="text2" w:themeShade="BF"/>
          <w:sz w:val="36"/>
          <w:szCs w:val="36"/>
        </w:rPr>
        <w:t xml:space="preserve">2. </w:t>
      </w:r>
      <w:r w:rsidR="00985CCD">
        <w:rPr>
          <w:b w:val="0"/>
          <w:color w:val="17365D" w:themeColor="text2" w:themeShade="BF"/>
          <w:sz w:val="36"/>
          <w:szCs w:val="36"/>
        </w:rPr>
        <w:t>Baggrund - den eksisterende</w:t>
      </w:r>
      <w:r w:rsidRPr="00B955F1">
        <w:rPr>
          <w:b w:val="0"/>
          <w:color w:val="17365D" w:themeColor="text2" w:themeShade="BF"/>
          <w:sz w:val="36"/>
          <w:szCs w:val="36"/>
        </w:rPr>
        <w:t xml:space="preserve"> kommunale medfinansiering</w:t>
      </w:r>
      <w:bookmarkEnd w:id="4"/>
    </w:p>
    <w:p w:rsidR="00985CCD" w:rsidRDefault="00985CCD" w:rsidP="002739BB">
      <w:pPr>
        <w:spacing w:after="0"/>
        <w:jc w:val="both"/>
        <w:rPr>
          <w:rFonts w:ascii="Garamond" w:hAnsi="Garamond"/>
          <w:sz w:val="24"/>
          <w:szCs w:val="24"/>
        </w:rPr>
      </w:pPr>
    </w:p>
    <w:p w:rsidR="00E907B8" w:rsidRPr="00132751" w:rsidRDefault="00E907B8" w:rsidP="00013753">
      <w:pPr>
        <w:jc w:val="both"/>
        <w:rPr>
          <w:rFonts w:ascii="Garamond" w:hAnsi="Garamond"/>
          <w:sz w:val="24"/>
          <w:szCs w:val="24"/>
        </w:rPr>
      </w:pPr>
      <w:r w:rsidRPr="00132751">
        <w:rPr>
          <w:rFonts w:ascii="Garamond" w:hAnsi="Garamond"/>
          <w:sz w:val="24"/>
          <w:szCs w:val="24"/>
        </w:rPr>
        <w:t xml:space="preserve">Den kommunale medfinansiering (KMF) </w:t>
      </w:r>
      <w:r>
        <w:rPr>
          <w:rFonts w:ascii="Garamond" w:hAnsi="Garamond"/>
          <w:sz w:val="24"/>
          <w:szCs w:val="24"/>
        </w:rPr>
        <w:t>blev</w:t>
      </w:r>
      <w:r w:rsidRPr="00132751">
        <w:rPr>
          <w:rFonts w:ascii="Garamond" w:hAnsi="Garamond"/>
          <w:sz w:val="24"/>
          <w:szCs w:val="24"/>
        </w:rPr>
        <w:t xml:space="preserve"> indført med kommunalreformen i 2007. </w:t>
      </w:r>
      <w:r w:rsidR="00913907">
        <w:rPr>
          <w:rFonts w:ascii="Garamond" w:hAnsi="Garamond"/>
          <w:sz w:val="24"/>
          <w:szCs w:val="24"/>
        </w:rPr>
        <w:t xml:space="preserve">Hensigten med ordningen er </w:t>
      </w:r>
      <w:r w:rsidRPr="00132751">
        <w:rPr>
          <w:rFonts w:ascii="Garamond" w:hAnsi="Garamond"/>
          <w:sz w:val="24"/>
          <w:szCs w:val="24"/>
        </w:rPr>
        <w:t>at give kommunerne et yderligere incitament til en effektiv forebyggelses-, træning- og plejeindsats</w:t>
      </w:r>
      <w:r>
        <w:rPr>
          <w:rFonts w:ascii="Garamond" w:hAnsi="Garamond"/>
          <w:sz w:val="24"/>
          <w:szCs w:val="24"/>
        </w:rPr>
        <w:t>, herunder at styrke samarbejdet på tværs af kommunale fagområder samt at styrke det forpligtende samarbejde mellem regioner og kommuner. Medfinansieringen skal således ses</w:t>
      </w:r>
      <w:r w:rsidRPr="00132751">
        <w:rPr>
          <w:rFonts w:ascii="Garamond" w:hAnsi="Garamond"/>
          <w:sz w:val="24"/>
          <w:szCs w:val="24"/>
        </w:rPr>
        <w:t xml:space="preserve"> i sammenhæng med de øvrige udgiftskonsekvenser ift. borgernes sundhedstilstand f.eks. i forhold til arbejdsmar</w:t>
      </w:r>
      <w:r w:rsidRPr="00132751">
        <w:rPr>
          <w:rFonts w:ascii="Garamond" w:hAnsi="Garamond"/>
          <w:sz w:val="24"/>
          <w:szCs w:val="24"/>
        </w:rPr>
        <w:softHyphen/>
        <w:t xml:space="preserve">kedet, det sociale system og plejesektoren. </w:t>
      </w:r>
    </w:p>
    <w:p w:rsidR="00E907B8" w:rsidRPr="00132751" w:rsidRDefault="00E907B8" w:rsidP="00013753">
      <w:pPr>
        <w:jc w:val="both"/>
        <w:rPr>
          <w:rFonts w:ascii="Garamond" w:hAnsi="Garamond"/>
          <w:sz w:val="24"/>
          <w:szCs w:val="24"/>
        </w:rPr>
      </w:pPr>
      <w:r w:rsidRPr="00132751">
        <w:rPr>
          <w:rFonts w:ascii="Garamond" w:hAnsi="Garamond"/>
          <w:sz w:val="24"/>
          <w:szCs w:val="24"/>
        </w:rPr>
        <w:t>Med ordningen medfinansierer kommunerne sundhedsaktiviteten i regionerne. Frem til 2012 bestod medfinansieringen af et grundbidrag på ca. 7 mia. kr. i alt (fast takst pr. borger uanset sundhedsforbrug) og et aktivitetsbestemt bidrag på ca. 13 mia. kr. i alt.</w:t>
      </w:r>
    </w:p>
    <w:p w:rsidR="00E907B8" w:rsidRPr="00132751" w:rsidRDefault="00073EEF" w:rsidP="00013753">
      <w:pPr>
        <w:jc w:val="both"/>
        <w:rPr>
          <w:rFonts w:ascii="Garamond" w:hAnsi="Garamond"/>
          <w:sz w:val="24"/>
          <w:szCs w:val="24"/>
        </w:rPr>
      </w:pPr>
      <w:r>
        <w:rPr>
          <w:rFonts w:ascii="Garamond" w:hAnsi="Garamond"/>
          <w:sz w:val="24"/>
          <w:szCs w:val="24"/>
        </w:rPr>
        <w:t>I</w:t>
      </w:r>
      <w:r w:rsidR="00E907B8" w:rsidRPr="00132751">
        <w:rPr>
          <w:rFonts w:ascii="Garamond" w:hAnsi="Garamond"/>
          <w:sz w:val="24"/>
          <w:szCs w:val="24"/>
        </w:rPr>
        <w:t xml:space="preserve"> 2012 blev ordningen ændret, så grundbidraget blev omlagt, og derefter indgik som en del af det aktivitetsafhængige bidrag. I forbindelse med ændringen blev den generelle pct.sats og det maksimale loft pr. indlæggelse hævet. Ordningen udgør herefter ca. 20 mia. kr.</w:t>
      </w:r>
    </w:p>
    <w:p w:rsidR="00E907B8" w:rsidRPr="00574BE0" w:rsidRDefault="00E907B8" w:rsidP="00013753">
      <w:pPr>
        <w:jc w:val="both"/>
        <w:rPr>
          <w:rFonts w:ascii="Garamond" w:hAnsi="Garamond"/>
          <w:sz w:val="24"/>
          <w:szCs w:val="24"/>
        </w:rPr>
      </w:pPr>
      <w:r w:rsidRPr="00574BE0">
        <w:rPr>
          <w:rFonts w:ascii="Garamond" w:hAnsi="Garamond"/>
          <w:sz w:val="24"/>
          <w:szCs w:val="24"/>
        </w:rPr>
        <w:t>Samtidig med omlægningen i 2012 blev der indf</w:t>
      </w:r>
      <w:r w:rsidR="0040682C" w:rsidRPr="0040682C">
        <w:rPr>
          <w:rFonts w:ascii="Garamond" w:hAnsi="Garamond"/>
          <w:sz w:val="24"/>
          <w:szCs w:val="24"/>
        </w:rPr>
        <w:t xml:space="preserve">ørt et loft over den regionale </w:t>
      </w:r>
      <w:r w:rsidRPr="00574BE0">
        <w:rPr>
          <w:rFonts w:ascii="Garamond" w:hAnsi="Garamond"/>
          <w:sz w:val="24"/>
          <w:szCs w:val="24"/>
        </w:rPr>
        <w:t>indtægt fra kommunal medfinansiering</w:t>
      </w:r>
      <w:r w:rsidR="00FA19B0" w:rsidRPr="00574BE0">
        <w:rPr>
          <w:rFonts w:ascii="Garamond" w:hAnsi="Garamond"/>
          <w:sz w:val="24"/>
          <w:szCs w:val="24"/>
        </w:rPr>
        <w:t>, så</w:t>
      </w:r>
      <w:r w:rsidR="00073EEF">
        <w:rPr>
          <w:rFonts w:ascii="Garamond" w:hAnsi="Garamond"/>
          <w:sz w:val="24"/>
          <w:szCs w:val="24"/>
        </w:rPr>
        <w:t>ledes at</w:t>
      </w:r>
      <w:r w:rsidRPr="00574BE0">
        <w:rPr>
          <w:rFonts w:ascii="Garamond" w:hAnsi="Garamond"/>
          <w:sz w:val="24"/>
          <w:szCs w:val="24"/>
        </w:rPr>
        <w:t xml:space="preserve"> en regions indtægter fra kommunerne ikke </w:t>
      </w:r>
      <w:r w:rsidR="00195791">
        <w:rPr>
          <w:rFonts w:ascii="Garamond" w:hAnsi="Garamond"/>
          <w:sz w:val="24"/>
          <w:szCs w:val="24"/>
        </w:rPr>
        <w:t>kunne</w:t>
      </w:r>
      <w:r w:rsidRPr="00574BE0">
        <w:rPr>
          <w:rFonts w:ascii="Garamond" w:hAnsi="Garamond"/>
          <w:sz w:val="24"/>
          <w:szCs w:val="24"/>
        </w:rPr>
        <w:t xml:space="preserve"> overstige </w:t>
      </w:r>
      <w:r w:rsidR="00073EEF">
        <w:rPr>
          <w:rFonts w:ascii="Garamond" w:hAnsi="Garamond"/>
          <w:sz w:val="24"/>
          <w:szCs w:val="24"/>
        </w:rPr>
        <w:t xml:space="preserve">et fastsat </w:t>
      </w:r>
      <w:r w:rsidRPr="00574BE0">
        <w:rPr>
          <w:rFonts w:ascii="Garamond" w:hAnsi="Garamond"/>
          <w:sz w:val="24"/>
          <w:szCs w:val="24"/>
        </w:rPr>
        <w:t xml:space="preserve">loft. </w:t>
      </w:r>
      <w:r w:rsidR="00195791">
        <w:rPr>
          <w:rFonts w:ascii="Garamond" w:hAnsi="Garamond"/>
          <w:sz w:val="24"/>
          <w:szCs w:val="24"/>
        </w:rPr>
        <w:t>A</w:t>
      </w:r>
      <w:r w:rsidRPr="00574BE0">
        <w:rPr>
          <w:rFonts w:ascii="Garamond" w:hAnsi="Garamond"/>
          <w:sz w:val="24"/>
          <w:szCs w:val="24"/>
        </w:rPr>
        <w:t>ktivitet ud over loftet før</w:t>
      </w:r>
      <w:r w:rsidR="00FA19B0" w:rsidRPr="00574BE0">
        <w:rPr>
          <w:rFonts w:ascii="Garamond" w:hAnsi="Garamond"/>
          <w:sz w:val="24"/>
          <w:szCs w:val="24"/>
        </w:rPr>
        <w:t>e</w:t>
      </w:r>
      <w:r w:rsidR="00A84421">
        <w:rPr>
          <w:rFonts w:ascii="Garamond" w:hAnsi="Garamond"/>
          <w:sz w:val="24"/>
          <w:szCs w:val="24"/>
        </w:rPr>
        <w:t>r således</w:t>
      </w:r>
      <w:r w:rsidR="00FA19B0" w:rsidRPr="00574BE0">
        <w:rPr>
          <w:rFonts w:ascii="Garamond" w:hAnsi="Garamond"/>
          <w:sz w:val="24"/>
          <w:szCs w:val="24"/>
        </w:rPr>
        <w:t xml:space="preserve"> </w:t>
      </w:r>
      <w:r w:rsidRPr="00574BE0">
        <w:rPr>
          <w:rFonts w:ascii="Garamond" w:hAnsi="Garamond"/>
          <w:sz w:val="24"/>
          <w:szCs w:val="24"/>
        </w:rPr>
        <w:t xml:space="preserve">ikke til større </w:t>
      </w:r>
      <w:r w:rsidR="00195791">
        <w:rPr>
          <w:rFonts w:ascii="Garamond" w:hAnsi="Garamond"/>
          <w:sz w:val="24"/>
          <w:szCs w:val="24"/>
        </w:rPr>
        <w:t xml:space="preserve">regional </w:t>
      </w:r>
      <w:r w:rsidRPr="00574BE0">
        <w:rPr>
          <w:rFonts w:ascii="Garamond" w:hAnsi="Garamond"/>
          <w:sz w:val="24"/>
          <w:szCs w:val="24"/>
        </w:rPr>
        <w:t>indtægt fra kommunal medfinansiering</w:t>
      </w:r>
      <w:r w:rsidR="00FA19B0" w:rsidRPr="00574BE0">
        <w:rPr>
          <w:rFonts w:ascii="Garamond" w:hAnsi="Garamond"/>
          <w:sz w:val="24"/>
          <w:szCs w:val="24"/>
        </w:rPr>
        <w:t xml:space="preserve">, men </w:t>
      </w:r>
      <w:r w:rsidRPr="00574BE0">
        <w:rPr>
          <w:rFonts w:ascii="Garamond" w:hAnsi="Garamond"/>
          <w:sz w:val="24"/>
          <w:szCs w:val="24"/>
        </w:rPr>
        <w:t>opsamles af staten og sendes (forudsat det er afledt af øget produktivitet i regionerne) tilbage til kommunerne under ét. Hensigten med loftet er at begrænse et muligt incitament til regional meraktivitet for at sikre budgetoverholdelse i regionerne, som følge af den kommunale medfinansiering</w:t>
      </w:r>
      <w:r w:rsidR="00FA19B0" w:rsidRPr="00574BE0">
        <w:rPr>
          <w:rFonts w:ascii="Garamond" w:hAnsi="Garamond"/>
          <w:sz w:val="24"/>
          <w:szCs w:val="24"/>
        </w:rPr>
        <w:t>.</w:t>
      </w:r>
    </w:p>
    <w:p w:rsidR="00723AB4" w:rsidRPr="00723AB4" w:rsidRDefault="00723AB4" w:rsidP="00723AB4"/>
    <w:p w:rsidR="00DA3889" w:rsidRDefault="00DA3889">
      <w:pPr>
        <w:rPr>
          <w:rFonts w:asciiTheme="majorHAnsi" w:eastAsiaTheme="majorEastAsia" w:hAnsiTheme="majorHAnsi" w:cstheme="majorBidi"/>
          <w:bCs/>
          <w:color w:val="17365D" w:themeColor="text2" w:themeShade="BF"/>
          <w:sz w:val="36"/>
          <w:szCs w:val="36"/>
        </w:rPr>
      </w:pPr>
      <w:r>
        <w:rPr>
          <w:b/>
          <w:color w:val="17365D" w:themeColor="text2" w:themeShade="BF"/>
          <w:sz w:val="36"/>
          <w:szCs w:val="36"/>
        </w:rPr>
        <w:br w:type="page"/>
      </w:r>
    </w:p>
    <w:p w:rsidR="00B955F1" w:rsidRPr="00B955F1" w:rsidRDefault="003B5520" w:rsidP="00013753">
      <w:pPr>
        <w:pStyle w:val="Overskrift1"/>
        <w:pBdr>
          <w:bottom w:val="single" w:sz="4" w:space="1" w:color="4F81BD" w:themeColor="accent1"/>
        </w:pBdr>
        <w:jc w:val="both"/>
        <w:rPr>
          <w:b w:val="0"/>
          <w:color w:val="17365D" w:themeColor="text2" w:themeShade="BF"/>
          <w:sz w:val="36"/>
          <w:szCs w:val="36"/>
        </w:rPr>
      </w:pPr>
      <w:bookmarkStart w:id="5" w:name="_Toc451358720"/>
      <w:r>
        <w:rPr>
          <w:b w:val="0"/>
          <w:color w:val="17365D" w:themeColor="text2" w:themeShade="BF"/>
          <w:sz w:val="36"/>
          <w:szCs w:val="36"/>
        </w:rPr>
        <w:t>3</w:t>
      </w:r>
      <w:r w:rsidR="00B955F1" w:rsidRPr="00B955F1">
        <w:rPr>
          <w:b w:val="0"/>
          <w:color w:val="17365D" w:themeColor="text2" w:themeShade="BF"/>
          <w:sz w:val="36"/>
          <w:szCs w:val="36"/>
        </w:rPr>
        <w:t>. En differentieret KMF</w:t>
      </w:r>
      <w:bookmarkEnd w:id="5"/>
    </w:p>
    <w:p w:rsidR="002739BB" w:rsidRDefault="002739BB" w:rsidP="002739BB">
      <w:pPr>
        <w:shd w:val="clear" w:color="auto" w:fill="FFFFFF" w:themeFill="background1"/>
        <w:spacing w:after="0"/>
        <w:jc w:val="both"/>
        <w:rPr>
          <w:rFonts w:ascii="Garamond" w:hAnsi="Garamond"/>
          <w:sz w:val="24"/>
          <w:szCs w:val="24"/>
        </w:rPr>
      </w:pPr>
    </w:p>
    <w:p w:rsidR="002739BB" w:rsidRPr="00E264BB" w:rsidRDefault="002739BB" w:rsidP="002739BB">
      <w:pPr>
        <w:shd w:val="clear" w:color="auto" w:fill="FFFFFF" w:themeFill="background1"/>
        <w:jc w:val="both"/>
        <w:rPr>
          <w:rFonts w:ascii="Garamond" w:hAnsi="Garamond"/>
          <w:sz w:val="24"/>
          <w:szCs w:val="24"/>
        </w:rPr>
      </w:pPr>
      <w:r w:rsidRPr="00132751">
        <w:rPr>
          <w:rFonts w:ascii="Garamond" w:hAnsi="Garamond"/>
          <w:sz w:val="24"/>
          <w:szCs w:val="24"/>
        </w:rPr>
        <w:t xml:space="preserve">I evalueringen for den kommunale medfinansiering (KMF) fra 2015 blev det </w:t>
      </w:r>
      <w:r w:rsidRPr="00BC175A">
        <w:rPr>
          <w:rFonts w:ascii="Garamond" w:hAnsi="Garamond"/>
          <w:sz w:val="24"/>
          <w:szCs w:val="24"/>
        </w:rPr>
        <w:t>konstateret, at flere kommuner peger</w:t>
      </w:r>
      <w:r w:rsidRPr="0045317C">
        <w:rPr>
          <w:rFonts w:ascii="Garamond" w:hAnsi="Garamond"/>
          <w:sz w:val="24"/>
          <w:szCs w:val="24"/>
        </w:rPr>
        <w:t xml:space="preserve"> på et beskedent økonomisk incitament til fo</w:t>
      </w:r>
      <w:r w:rsidRPr="00E264BB">
        <w:rPr>
          <w:rFonts w:ascii="Garamond" w:hAnsi="Garamond"/>
          <w:sz w:val="24"/>
          <w:szCs w:val="24"/>
        </w:rPr>
        <w:t xml:space="preserve">rebyggelse som følge af KMF. Årsagen er, at bl.a. en stor del af medfinansieringen er relateret til sygehusaktivitet, som </w:t>
      </w:r>
      <w:r w:rsidRPr="00BC175A">
        <w:rPr>
          <w:rFonts w:ascii="Garamond" w:hAnsi="Garamond"/>
          <w:sz w:val="24"/>
          <w:szCs w:val="24"/>
        </w:rPr>
        <w:t>kommunen oplever</w:t>
      </w:r>
      <w:r w:rsidR="00757971" w:rsidRPr="00BC175A">
        <w:rPr>
          <w:rFonts w:ascii="Garamond" w:hAnsi="Garamond"/>
          <w:sz w:val="24"/>
          <w:szCs w:val="24"/>
        </w:rPr>
        <w:t>,</w:t>
      </w:r>
      <w:r w:rsidRPr="00BC175A">
        <w:rPr>
          <w:rFonts w:ascii="Garamond" w:hAnsi="Garamond"/>
          <w:sz w:val="24"/>
          <w:szCs w:val="24"/>
        </w:rPr>
        <w:t xml:space="preserve"> </w:t>
      </w:r>
      <w:r w:rsidR="00697746" w:rsidRPr="00BC175A">
        <w:rPr>
          <w:rFonts w:ascii="Garamond" w:hAnsi="Garamond"/>
          <w:sz w:val="24"/>
          <w:szCs w:val="24"/>
        </w:rPr>
        <w:t>er vanskelig at påvirke</w:t>
      </w:r>
      <w:r w:rsidRPr="00BC175A">
        <w:rPr>
          <w:rFonts w:ascii="Garamond" w:hAnsi="Garamond"/>
          <w:sz w:val="24"/>
          <w:szCs w:val="24"/>
        </w:rPr>
        <w:t>. D</w:t>
      </w:r>
      <w:r w:rsidRPr="0045317C">
        <w:rPr>
          <w:rFonts w:ascii="Garamond" w:hAnsi="Garamond"/>
          <w:sz w:val="24"/>
          <w:szCs w:val="24"/>
        </w:rPr>
        <w:t>et taler for at differentiere KMF, så incitamentet til forebyggelse bliver stærkere, og så der skabes større sammenhæng mellem kommunernes indsats og afregning</w:t>
      </w:r>
      <w:r w:rsidRPr="00E264BB">
        <w:rPr>
          <w:rFonts w:ascii="Garamond" w:hAnsi="Garamond"/>
          <w:sz w:val="24"/>
          <w:szCs w:val="24"/>
        </w:rPr>
        <w:t xml:space="preserve"> af medfinansiering.</w:t>
      </w:r>
    </w:p>
    <w:p w:rsidR="002739BB" w:rsidRDefault="002739BB" w:rsidP="002739BB">
      <w:pPr>
        <w:shd w:val="clear" w:color="auto" w:fill="FFFFFF" w:themeFill="background1"/>
        <w:jc w:val="both"/>
        <w:rPr>
          <w:rFonts w:ascii="Garamond" w:hAnsi="Garamond"/>
          <w:sz w:val="24"/>
          <w:szCs w:val="24"/>
        </w:rPr>
      </w:pPr>
      <w:r w:rsidRPr="00F21D96">
        <w:rPr>
          <w:rFonts w:ascii="Garamond" w:hAnsi="Garamond"/>
          <w:sz w:val="24"/>
          <w:szCs w:val="24"/>
        </w:rPr>
        <w:t xml:space="preserve">En differentiering har tidligere været overvejet i bl.a. </w:t>
      </w:r>
      <w:r w:rsidRPr="00F21D96">
        <w:rPr>
          <w:rFonts w:ascii="Garamond" w:hAnsi="Garamond"/>
          <w:i/>
          <w:sz w:val="24"/>
          <w:szCs w:val="24"/>
        </w:rPr>
        <w:t>Udvalget om kommunal medfinansiering på sundhedsområdet</w:t>
      </w:r>
      <w:r w:rsidRPr="00F21D96">
        <w:rPr>
          <w:rFonts w:ascii="Garamond" w:hAnsi="Garamond"/>
          <w:sz w:val="24"/>
          <w:szCs w:val="24"/>
        </w:rPr>
        <w:t xml:space="preserve"> under Finansministeriet (2010), </w:t>
      </w:r>
      <w:r w:rsidRPr="00F21D96">
        <w:rPr>
          <w:rFonts w:ascii="Garamond" w:hAnsi="Garamond"/>
          <w:i/>
          <w:sz w:val="24"/>
          <w:szCs w:val="24"/>
        </w:rPr>
        <w:t>Udvalget for bedre incitamenter i sundhedsvæsenet</w:t>
      </w:r>
      <w:r w:rsidRPr="00F21D96">
        <w:rPr>
          <w:rFonts w:ascii="Garamond" w:hAnsi="Garamond"/>
          <w:sz w:val="24"/>
          <w:szCs w:val="24"/>
        </w:rPr>
        <w:t xml:space="preserve"> </w:t>
      </w:r>
      <w:r w:rsidRPr="006A07D2">
        <w:rPr>
          <w:rFonts w:ascii="Garamond" w:hAnsi="Garamond"/>
          <w:sz w:val="24"/>
          <w:szCs w:val="24"/>
        </w:rPr>
        <w:t>under Ministeriet for Sundhed og Forebyggelse (2013), men er hidtil ikke</w:t>
      </w:r>
      <w:r>
        <w:rPr>
          <w:rFonts w:ascii="Garamond" w:hAnsi="Garamond"/>
          <w:sz w:val="24"/>
          <w:szCs w:val="24"/>
        </w:rPr>
        <w:t xml:space="preserve"> blevet gennemført pga. bl.a. </w:t>
      </w:r>
      <w:r w:rsidRPr="00132751">
        <w:rPr>
          <w:rFonts w:ascii="Garamond" w:hAnsi="Garamond"/>
          <w:sz w:val="24"/>
          <w:szCs w:val="24"/>
        </w:rPr>
        <w:t>risikoen for regional kassetænkning</w:t>
      </w:r>
      <w:r>
        <w:rPr>
          <w:rFonts w:ascii="Garamond" w:hAnsi="Garamond"/>
          <w:sz w:val="24"/>
          <w:szCs w:val="24"/>
        </w:rPr>
        <w:t>(regionerne ændrer adfærd med sigtet om at forbedre egen økonomi på bekostning af kommunerne)</w:t>
      </w:r>
      <w:r w:rsidRPr="00132751">
        <w:rPr>
          <w:rFonts w:ascii="Garamond" w:hAnsi="Garamond"/>
          <w:sz w:val="24"/>
          <w:szCs w:val="24"/>
        </w:rPr>
        <w:t xml:space="preserve">. </w:t>
      </w:r>
      <w:r>
        <w:rPr>
          <w:rFonts w:ascii="Garamond" w:hAnsi="Garamond"/>
          <w:sz w:val="24"/>
          <w:szCs w:val="24"/>
        </w:rPr>
        <w:t>En forudsætning for at differentiere KMF er derfor, at d</w:t>
      </w:r>
      <w:r w:rsidRPr="00132751">
        <w:rPr>
          <w:rFonts w:ascii="Garamond" w:hAnsi="Garamond"/>
          <w:sz w:val="24"/>
          <w:szCs w:val="24"/>
        </w:rPr>
        <w:t>enne risiko eli</w:t>
      </w:r>
      <w:r>
        <w:rPr>
          <w:rFonts w:ascii="Garamond" w:hAnsi="Garamond"/>
          <w:sz w:val="24"/>
          <w:szCs w:val="24"/>
        </w:rPr>
        <w:t xml:space="preserve">mineres, hvilket </w:t>
      </w:r>
      <w:r w:rsidR="00D523E3">
        <w:rPr>
          <w:rFonts w:ascii="Garamond" w:hAnsi="Garamond"/>
          <w:sz w:val="24"/>
          <w:szCs w:val="24"/>
        </w:rPr>
        <w:t xml:space="preserve">alt andet lige </w:t>
      </w:r>
      <w:r>
        <w:rPr>
          <w:rFonts w:ascii="Garamond" w:hAnsi="Garamond"/>
          <w:sz w:val="24"/>
          <w:szCs w:val="24"/>
        </w:rPr>
        <w:t xml:space="preserve">kræver, at de uhensigtsmæssige regionale </w:t>
      </w:r>
      <w:r w:rsidR="008E796A">
        <w:rPr>
          <w:rFonts w:ascii="Garamond" w:hAnsi="Garamond"/>
          <w:sz w:val="24"/>
          <w:szCs w:val="24"/>
        </w:rPr>
        <w:t xml:space="preserve">adfærd </w:t>
      </w:r>
      <w:r>
        <w:rPr>
          <w:rFonts w:ascii="Garamond" w:hAnsi="Garamond"/>
          <w:sz w:val="24"/>
          <w:szCs w:val="24"/>
        </w:rPr>
        <w:t>fjernes</w:t>
      </w:r>
      <w:r w:rsidRPr="002739BB">
        <w:rPr>
          <w:rFonts w:ascii="Garamond" w:hAnsi="Garamond"/>
          <w:i/>
          <w:sz w:val="24"/>
          <w:szCs w:val="24"/>
        </w:rPr>
        <w:t>, jf. kapitel 4</w:t>
      </w:r>
      <w:r>
        <w:rPr>
          <w:rFonts w:ascii="Garamond" w:hAnsi="Garamond"/>
          <w:i/>
          <w:sz w:val="24"/>
          <w:szCs w:val="24"/>
        </w:rPr>
        <w:t>.</w:t>
      </w:r>
    </w:p>
    <w:p w:rsidR="002739BB" w:rsidRPr="00B955C3" w:rsidRDefault="002739BB" w:rsidP="002739BB">
      <w:pPr>
        <w:spacing w:after="0"/>
        <w:jc w:val="both"/>
        <w:rPr>
          <w:rFonts w:ascii="Garamond" w:hAnsi="Garamond"/>
          <w:sz w:val="24"/>
          <w:szCs w:val="24"/>
        </w:rPr>
      </w:pPr>
      <w:r w:rsidRPr="00B955C3">
        <w:rPr>
          <w:rFonts w:ascii="Garamond" w:hAnsi="Garamond"/>
          <w:sz w:val="24"/>
          <w:szCs w:val="24"/>
        </w:rPr>
        <w:t>Nedenfor</w:t>
      </w:r>
      <w:r>
        <w:rPr>
          <w:rFonts w:ascii="Garamond" w:hAnsi="Garamond"/>
          <w:sz w:val="24"/>
          <w:szCs w:val="24"/>
        </w:rPr>
        <w:t xml:space="preserve"> argumenteres for implementeringen af en aldersdifferentieret KMF, og forslag til </w:t>
      </w:r>
      <w:r w:rsidR="006F660A">
        <w:rPr>
          <w:rFonts w:ascii="Garamond" w:hAnsi="Garamond"/>
          <w:sz w:val="24"/>
          <w:szCs w:val="24"/>
        </w:rPr>
        <w:t>ændring(</w:t>
      </w:r>
      <w:r>
        <w:rPr>
          <w:rFonts w:ascii="Garamond" w:hAnsi="Garamond"/>
          <w:sz w:val="24"/>
          <w:szCs w:val="24"/>
        </w:rPr>
        <w:t>model</w:t>
      </w:r>
      <w:r w:rsidR="006F660A">
        <w:rPr>
          <w:rFonts w:ascii="Garamond" w:hAnsi="Garamond"/>
          <w:sz w:val="24"/>
          <w:szCs w:val="24"/>
        </w:rPr>
        <w:t>)</w:t>
      </w:r>
      <w:r>
        <w:rPr>
          <w:rFonts w:ascii="Garamond" w:hAnsi="Garamond"/>
          <w:sz w:val="24"/>
          <w:szCs w:val="24"/>
        </w:rPr>
        <w:t xml:space="preserve"> opstilles. </w:t>
      </w:r>
    </w:p>
    <w:p w:rsidR="00B955F1" w:rsidRPr="00132751" w:rsidRDefault="003B5520" w:rsidP="00013753">
      <w:pPr>
        <w:pStyle w:val="Overskrift1"/>
        <w:jc w:val="both"/>
        <w:rPr>
          <w:b w:val="0"/>
          <w:color w:val="17365D" w:themeColor="text2" w:themeShade="BF"/>
        </w:rPr>
      </w:pPr>
      <w:bookmarkStart w:id="6" w:name="_Toc451358721"/>
      <w:r>
        <w:rPr>
          <w:b w:val="0"/>
          <w:color w:val="17365D" w:themeColor="text2" w:themeShade="BF"/>
        </w:rPr>
        <w:t>3</w:t>
      </w:r>
      <w:r w:rsidR="00132751">
        <w:rPr>
          <w:b w:val="0"/>
          <w:color w:val="17365D" w:themeColor="text2" w:themeShade="BF"/>
        </w:rPr>
        <w:t xml:space="preserve">.1 </w:t>
      </w:r>
      <w:r w:rsidR="00132751" w:rsidRPr="00132751">
        <w:rPr>
          <w:b w:val="0"/>
          <w:color w:val="17365D" w:themeColor="text2" w:themeShade="BF"/>
        </w:rPr>
        <w:t>Den eksisterende generelle ordning</w:t>
      </w:r>
      <w:bookmarkEnd w:id="6"/>
    </w:p>
    <w:p w:rsidR="00BB5145" w:rsidRDefault="00E907B8" w:rsidP="006E0EC2">
      <w:pPr>
        <w:jc w:val="both"/>
        <w:rPr>
          <w:rFonts w:ascii="Garamond" w:hAnsi="Garamond"/>
          <w:sz w:val="24"/>
          <w:szCs w:val="24"/>
        </w:rPr>
      </w:pPr>
      <w:r w:rsidRPr="00132751">
        <w:rPr>
          <w:rFonts w:ascii="Garamond" w:hAnsi="Garamond"/>
          <w:sz w:val="24"/>
          <w:szCs w:val="24"/>
        </w:rPr>
        <w:t xml:space="preserve">Den eksisterende ordning er generel og er dermed ikke differentieret ift. specifikke patientgrupper, diagnoser mv. </w:t>
      </w:r>
      <w:r w:rsidR="00BB5145">
        <w:rPr>
          <w:rFonts w:ascii="Garamond" w:hAnsi="Garamond"/>
          <w:sz w:val="24"/>
          <w:szCs w:val="24"/>
        </w:rPr>
        <w:t xml:space="preserve">Det er henset til bl.a. enkelthed, risiko for regional kassetænkning samt risiko for nedprioritering af andre grupper. </w:t>
      </w:r>
    </w:p>
    <w:p w:rsidR="00D679AE" w:rsidRDefault="00D679AE" w:rsidP="006E0EC2">
      <w:pPr>
        <w:jc w:val="both"/>
        <w:rPr>
          <w:rFonts w:ascii="Garamond" w:hAnsi="Garamond"/>
          <w:sz w:val="24"/>
          <w:szCs w:val="24"/>
        </w:rPr>
      </w:pPr>
      <w:r>
        <w:rPr>
          <w:rFonts w:ascii="Garamond" w:hAnsi="Garamond"/>
          <w:sz w:val="24"/>
          <w:szCs w:val="24"/>
        </w:rPr>
        <w:t>Med ordningen anvendes</w:t>
      </w:r>
      <w:r w:rsidR="00E907B8">
        <w:rPr>
          <w:rFonts w:ascii="Garamond" w:hAnsi="Garamond"/>
          <w:sz w:val="24"/>
          <w:szCs w:val="24"/>
        </w:rPr>
        <w:t xml:space="preserve"> </w:t>
      </w:r>
      <w:r w:rsidR="006E0EC2">
        <w:rPr>
          <w:rFonts w:ascii="Garamond" w:hAnsi="Garamond"/>
          <w:sz w:val="24"/>
          <w:szCs w:val="24"/>
        </w:rPr>
        <w:t xml:space="preserve">en procentvis betaling </w:t>
      </w:r>
      <w:r>
        <w:rPr>
          <w:rFonts w:ascii="Garamond" w:hAnsi="Garamond"/>
          <w:sz w:val="24"/>
          <w:szCs w:val="24"/>
        </w:rPr>
        <w:t>for hver gang en borgere har modtaget en regionalt finansieret sundhedsyde</w:t>
      </w:r>
      <w:r w:rsidR="002E7981">
        <w:rPr>
          <w:rFonts w:ascii="Garamond" w:hAnsi="Garamond"/>
          <w:sz w:val="24"/>
          <w:szCs w:val="24"/>
        </w:rPr>
        <w:t>lse (inden for dækningsområdet). Samtidig</w:t>
      </w:r>
      <w:r>
        <w:rPr>
          <w:rFonts w:ascii="Garamond" w:hAnsi="Garamond"/>
          <w:sz w:val="24"/>
          <w:szCs w:val="24"/>
        </w:rPr>
        <w:t xml:space="preserve"> er </w:t>
      </w:r>
      <w:r w:rsidR="002E7981">
        <w:rPr>
          <w:rFonts w:ascii="Garamond" w:hAnsi="Garamond"/>
          <w:sz w:val="24"/>
          <w:szCs w:val="24"/>
        </w:rPr>
        <w:t xml:space="preserve">der </w:t>
      </w:r>
      <w:r>
        <w:rPr>
          <w:rFonts w:ascii="Garamond" w:hAnsi="Garamond"/>
          <w:sz w:val="24"/>
          <w:szCs w:val="24"/>
        </w:rPr>
        <w:t>sat en grænse for medfinansiering</w:t>
      </w:r>
      <w:r w:rsidR="00073EEF">
        <w:rPr>
          <w:rFonts w:ascii="Garamond" w:hAnsi="Garamond"/>
          <w:sz w:val="24"/>
          <w:szCs w:val="24"/>
        </w:rPr>
        <w:t>en</w:t>
      </w:r>
      <w:r>
        <w:rPr>
          <w:rFonts w:ascii="Garamond" w:hAnsi="Garamond"/>
          <w:sz w:val="24"/>
          <w:szCs w:val="24"/>
        </w:rPr>
        <w:t xml:space="preserve">s størrelse, et </w:t>
      </w:r>
      <w:r w:rsidR="006E0EC2">
        <w:rPr>
          <w:rFonts w:ascii="Garamond" w:hAnsi="Garamond"/>
          <w:sz w:val="24"/>
          <w:szCs w:val="24"/>
        </w:rPr>
        <w:t>loft for den maksimale betaling</w:t>
      </w:r>
      <w:r w:rsidR="00913907">
        <w:rPr>
          <w:rFonts w:ascii="Garamond" w:hAnsi="Garamond"/>
          <w:sz w:val="24"/>
          <w:szCs w:val="24"/>
        </w:rPr>
        <w:t xml:space="preserve"> pr. indlæggelse</w:t>
      </w:r>
      <w:r w:rsidR="006E0EC2">
        <w:rPr>
          <w:rFonts w:ascii="Garamond" w:hAnsi="Garamond"/>
          <w:sz w:val="24"/>
          <w:szCs w:val="24"/>
        </w:rPr>
        <w:t xml:space="preserve">. </w:t>
      </w:r>
      <w:r>
        <w:rPr>
          <w:rFonts w:ascii="Garamond" w:hAnsi="Garamond"/>
          <w:sz w:val="24"/>
          <w:szCs w:val="24"/>
        </w:rPr>
        <w:t>Den procentvise sats</w:t>
      </w:r>
      <w:r w:rsidR="006E0EC2" w:rsidRPr="00132751">
        <w:rPr>
          <w:rFonts w:ascii="Garamond" w:hAnsi="Garamond"/>
          <w:sz w:val="24"/>
          <w:szCs w:val="24"/>
        </w:rPr>
        <w:t xml:space="preserve"> </w:t>
      </w:r>
      <w:r w:rsidR="006E0EC2">
        <w:rPr>
          <w:rFonts w:ascii="Garamond" w:hAnsi="Garamond"/>
          <w:sz w:val="24"/>
          <w:szCs w:val="24"/>
        </w:rPr>
        <w:t xml:space="preserve">og </w:t>
      </w:r>
      <w:r>
        <w:rPr>
          <w:rFonts w:ascii="Garamond" w:hAnsi="Garamond"/>
          <w:sz w:val="24"/>
          <w:szCs w:val="24"/>
        </w:rPr>
        <w:t xml:space="preserve">det </w:t>
      </w:r>
      <w:r w:rsidR="006E0EC2">
        <w:rPr>
          <w:rFonts w:ascii="Garamond" w:hAnsi="Garamond"/>
          <w:sz w:val="24"/>
          <w:szCs w:val="24"/>
        </w:rPr>
        <w:t>maksimal</w:t>
      </w:r>
      <w:r>
        <w:rPr>
          <w:rFonts w:ascii="Garamond" w:hAnsi="Garamond"/>
          <w:sz w:val="24"/>
          <w:szCs w:val="24"/>
        </w:rPr>
        <w:t>e</w:t>
      </w:r>
      <w:r w:rsidR="006E0EC2">
        <w:rPr>
          <w:rFonts w:ascii="Garamond" w:hAnsi="Garamond"/>
          <w:sz w:val="24"/>
          <w:szCs w:val="24"/>
        </w:rPr>
        <w:t xml:space="preserve"> loft</w:t>
      </w:r>
      <w:r w:rsidR="006E0EC2" w:rsidRPr="006E0EC2">
        <w:rPr>
          <w:rFonts w:ascii="Garamond" w:hAnsi="Garamond"/>
          <w:sz w:val="24"/>
          <w:szCs w:val="24"/>
        </w:rPr>
        <w:t xml:space="preserve"> </w:t>
      </w:r>
      <w:r>
        <w:rPr>
          <w:rFonts w:ascii="Garamond" w:hAnsi="Garamond"/>
          <w:sz w:val="24"/>
          <w:szCs w:val="24"/>
        </w:rPr>
        <w:t xml:space="preserve">er </w:t>
      </w:r>
      <w:r w:rsidR="006E0EC2">
        <w:rPr>
          <w:rFonts w:ascii="Garamond" w:hAnsi="Garamond"/>
          <w:sz w:val="24"/>
          <w:szCs w:val="24"/>
        </w:rPr>
        <w:t xml:space="preserve">den </w:t>
      </w:r>
      <w:r w:rsidR="006E0EC2" w:rsidRPr="00132751">
        <w:rPr>
          <w:rFonts w:ascii="Garamond" w:hAnsi="Garamond"/>
          <w:sz w:val="24"/>
          <w:szCs w:val="24"/>
        </w:rPr>
        <w:t>samme</w:t>
      </w:r>
      <w:r w:rsidRPr="00D679AE">
        <w:rPr>
          <w:rFonts w:ascii="Garamond" w:hAnsi="Garamond"/>
          <w:sz w:val="24"/>
          <w:szCs w:val="24"/>
        </w:rPr>
        <w:t xml:space="preserve"> </w:t>
      </w:r>
      <w:r>
        <w:rPr>
          <w:rFonts w:ascii="Garamond" w:hAnsi="Garamond"/>
          <w:sz w:val="24"/>
          <w:szCs w:val="24"/>
        </w:rPr>
        <w:t>f</w:t>
      </w:r>
      <w:r w:rsidRPr="00132751">
        <w:rPr>
          <w:rFonts w:ascii="Garamond" w:hAnsi="Garamond"/>
          <w:sz w:val="24"/>
          <w:szCs w:val="24"/>
        </w:rPr>
        <w:t>or al behandling inden for samme behandlingsområde</w:t>
      </w:r>
      <w:r w:rsidR="00132751" w:rsidRPr="00132751">
        <w:rPr>
          <w:rFonts w:ascii="Garamond" w:hAnsi="Garamond"/>
          <w:sz w:val="24"/>
          <w:szCs w:val="24"/>
        </w:rPr>
        <w:t xml:space="preserve">. Fx udgør </w:t>
      </w:r>
      <w:r w:rsidR="006E0EC2">
        <w:rPr>
          <w:rFonts w:ascii="Garamond" w:hAnsi="Garamond"/>
          <w:sz w:val="24"/>
          <w:szCs w:val="24"/>
        </w:rPr>
        <w:t>pct.-</w:t>
      </w:r>
      <w:r w:rsidR="00132751" w:rsidRPr="00132751">
        <w:rPr>
          <w:rFonts w:ascii="Garamond" w:hAnsi="Garamond"/>
          <w:sz w:val="24"/>
          <w:szCs w:val="24"/>
        </w:rPr>
        <w:t>satsen 34 pct. af behand</w:t>
      </w:r>
      <w:r w:rsidR="006E0EC2">
        <w:rPr>
          <w:rFonts w:ascii="Garamond" w:hAnsi="Garamond"/>
          <w:sz w:val="24"/>
          <w:szCs w:val="24"/>
        </w:rPr>
        <w:t>lingsudgiften opgjort ved DRG-</w:t>
      </w:r>
      <w:r w:rsidR="00132751" w:rsidRPr="00132751">
        <w:rPr>
          <w:rFonts w:ascii="Garamond" w:hAnsi="Garamond"/>
          <w:sz w:val="24"/>
          <w:szCs w:val="24"/>
        </w:rPr>
        <w:t xml:space="preserve">taksten </w:t>
      </w:r>
      <w:r w:rsidR="00A84421">
        <w:rPr>
          <w:rFonts w:ascii="Garamond" w:hAnsi="Garamond"/>
          <w:sz w:val="24"/>
          <w:szCs w:val="24"/>
        </w:rPr>
        <w:t>med et maksimal</w:t>
      </w:r>
      <w:r w:rsidR="006E0EC2">
        <w:rPr>
          <w:rFonts w:ascii="Garamond" w:hAnsi="Garamond"/>
          <w:sz w:val="24"/>
          <w:szCs w:val="24"/>
        </w:rPr>
        <w:t>t</w:t>
      </w:r>
      <w:r w:rsidR="00A84421">
        <w:rPr>
          <w:rFonts w:ascii="Garamond" w:hAnsi="Garamond"/>
          <w:sz w:val="24"/>
          <w:szCs w:val="24"/>
        </w:rPr>
        <w:t xml:space="preserve"> loft på 14.</w:t>
      </w:r>
      <w:r w:rsidR="00D457E3">
        <w:rPr>
          <w:rFonts w:ascii="Garamond" w:hAnsi="Garamond"/>
          <w:sz w:val="24"/>
          <w:szCs w:val="24"/>
        </w:rPr>
        <w:t>811</w:t>
      </w:r>
      <w:r w:rsidR="00A84421">
        <w:rPr>
          <w:rFonts w:ascii="Garamond" w:hAnsi="Garamond"/>
          <w:sz w:val="24"/>
          <w:szCs w:val="24"/>
        </w:rPr>
        <w:t xml:space="preserve"> kr. pr. indlæggelse</w:t>
      </w:r>
      <w:r w:rsidR="006E0EC2" w:rsidRPr="006E0EC2">
        <w:rPr>
          <w:rFonts w:ascii="Garamond" w:hAnsi="Garamond"/>
          <w:sz w:val="24"/>
          <w:szCs w:val="24"/>
        </w:rPr>
        <w:t xml:space="preserve"> </w:t>
      </w:r>
      <w:r w:rsidR="006E0EC2" w:rsidRPr="00132751">
        <w:rPr>
          <w:rFonts w:ascii="Garamond" w:hAnsi="Garamond"/>
          <w:sz w:val="24"/>
          <w:szCs w:val="24"/>
        </w:rPr>
        <w:t>på hele det somatiske område</w:t>
      </w:r>
      <w:r w:rsidR="00073EEF" w:rsidRPr="00073EEF">
        <w:rPr>
          <w:rFonts w:ascii="Garamond" w:hAnsi="Garamond"/>
          <w:i/>
          <w:sz w:val="24"/>
          <w:szCs w:val="24"/>
        </w:rPr>
        <w:t>, jf. boks 3.1</w:t>
      </w:r>
      <w:r w:rsidR="006E0EC2">
        <w:rPr>
          <w:rFonts w:ascii="Garamond" w:hAnsi="Garamond"/>
          <w:sz w:val="24"/>
          <w:szCs w:val="24"/>
        </w:rPr>
        <w:t xml:space="preserve">. </w:t>
      </w:r>
    </w:p>
    <w:p w:rsidR="009A5B31" w:rsidRDefault="00913907" w:rsidP="006E0EC2">
      <w:pPr>
        <w:jc w:val="both"/>
        <w:rPr>
          <w:rFonts w:ascii="Garamond" w:hAnsi="Garamond"/>
          <w:sz w:val="24"/>
          <w:szCs w:val="24"/>
        </w:rPr>
      </w:pPr>
      <w:r>
        <w:rPr>
          <w:rFonts w:ascii="Garamond" w:hAnsi="Garamond"/>
          <w:sz w:val="24"/>
          <w:szCs w:val="24"/>
        </w:rPr>
        <w:t>M</w:t>
      </w:r>
      <w:r w:rsidR="00132751" w:rsidRPr="00132751">
        <w:rPr>
          <w:rFonts w:ascii="Garamond" w:hAnsi="Garamond"/>
          <w:sz w:val="24"/>
          <w:szCs w:val="24"/>
        </w:rPr>
        <w:t xml:space="preserve">ellem </w:t>
      </w:r>
      <w:r w:rsidR="00BB5145">
        <w:rPr>
          <w:rFonts w:ascii="Garamond" w:hAnsi="Garamond"/>
          <w:sz w:val="24"/>
          <w:szCs w:val="24"/>
        </w:rPr>
        <w:t>behandlingsområder</w:t>
      </w:r>
      <w:r>
        <w:rPr>
          <w:rFonts w:ascii="Garamond" w:hAnsi="Garamond"/>
          <w:sz w:val="24"/>
          <w:szCs w:val="24"/>
        </w:rPr>
        <w:t xml:space="preserve"> er der forskel på pct.sats og maksimal lofter</w:t>
      </w:r>
      <w:r w:rsidR="00D457E3">
        <w:rPr>
          <w:rFonts w:ascii="Garamond" w:hAnsi="Garamond"/>
          <w:sz w:val="24"/>
          <w:szCs w:val="24"/>
        </w:rPr>
        <w:t xml:space="preserve"> </w:t>
      </w:r>
      <w:r w:rsidR="00132751" w:rsidRPr="00132751">
        <w:rPr>
          <w:rFonts w:ascii="Garamond" w:hAnsi="Garamond"/>
          <w:sz w:val="24"/>
          <w:szCs w:val="24"/>
        </w:rPr>
        <w:t xml:space="preserve">fx </w:t>
      </w:r>
      <w:r w:rsidR="00D457E3">
        <w:rPr>
          <w:rFonts w:ascii="Garamond" w:hAnsi="Garamond"/>
          <w:sz w:val="24"/>
          <w:szCs w:val="24"/>
        </w:rPr>
        <w:t xml:space="preserve">er </w:t>
      </w:r>
      <w:r w:rsidR="00132751" w:rsidRPr="00132751">
        <w:rPr>
          <w:rFonts w:ascii="Garamond" w:hAnsi="Garamond"/>
          <w:sz w:val="24"/>
          <w:szCs w:val="24"/>
        </w:rPr>
        <w:t xml:space="preserve">afregningstaksten </w:t>
      </w:r>
      <w:r w:rsidR="00D457E3" w:rsidRPr="00132751">
        <w:rPr>
          <w:rFonts w:ascii="Garamond" w:hAnsi="Garamond"/>
          <w:sz w:val="24"/>
          <w:szCs w:val="24"/>
        </w:rPr>
        <w:t>1</w:t>
      </w:r>
      <w:r w:rsidR="00D457E3">
        <w:rPr>
          <w:rFonts w:ascii="Garamond" w:hAnsi="Garamond"/>
          <w:sz w:val="24"/>
          <w:szCs w:val="24"/>
        </w:rPr>
        <w:t xml:space="preserve">0 pct. af lægernes honorar(på grundydelser) på alm. praksis området, mens </w:t>
      </w:r>
      <w:r>
        <w:rPr>
          <w:rFonts w:ascii="Garamond" w:hAnsi="Garamond"/>
          <w:sz w:val="24"/>
          <w:szCs w:val="24"/>
        </w:rPr>
        <w:t xml:space="preserve">taksten for </w:t>
      </w:r>
      <w:r w:rsidR="00073EEF">
        <w:rPr>
          <w:rFonts w:ascii="Garamond" w:hAnsi="Garamond"/>
          <w:sz w:val="24"/>
          <w:szCs w:val="24"/>
        </w:rPr>
        <w:t>speciallæger</w:t>
      </w:r>
      <w:r>
        <w:rPr>
          <w:rFonts w:ascii="Garamond" w:hAnsi="Garamond"/>
          <w:sz w:val="24"/>
          <w:szCs w:val="24"/>
        </w:rPr>
        <w:t xml:space="preserve"> </w:t>
      </w:r>
      <w:r w:rsidR="00D457E3">
        <w:rPr>
          <w:rFonts w:ascii="Garamond" w:hAnsi="Garamond"/>
          <w:sz w:val="24"/>
          <w:szCs w:val="24"/>
        </w:rPr>
        <w:t xml:space="preserve">er </w:t>
      </w:r>
      <w:r w:rsidR="00073EEF">
        <w:rPr>
          <w:rFonts w:ascii="Garamond" w:hAnsi="Garamond"/>
          <w:sz w:val="24"/>
          <w:szCs w:val="24"/>
        </w:rPr>
        <w:t>34</w:t>
      </w:r>
      <w:r w:rsidR="003152FB">
        <w:rPr>
          <w:rFonts w:ascii="Garamond" w:hAnsi="Garamond"/>
          <w:sz w:val="24"/>
          <w:szCs w:val="24"/>
        </w:rPr>
        <w:t xml:space="preserve"> pct.</w:t>
      </w:r>
    </w:p>
    <w:p w:rsidR="00132751" w:rsidRDefault="00132751" w:rsidP="00013753">
      <w:pPr>
        <w:jc w:val="both"/>
        <w:rPr>
          <w:rFonts w:ascii="Garamond" w:hAnsi="Garamond"/>
          <w:sz w:val="24"/>
          <w:szCs w:val="24"/>
        </w:rPr>
      </w:pPr>
      <w:r w:rsidRPr="00132751">
        <w:rPr>
          <w:rFonts w:ascii="Garamond" w:hAnsi="Garamond"/>
          <w:sz w:val="24"/>
          <w:szCs w:val="24"/>
        </w:rPr>
        <w:t>Ordningen gælder samtlige udskrivninger fra sygehusene (psykiatriske og somatiske) som er finansieret af regionerne, samtlige ydelser under sygesikringsområder</w:t>
      </w:r>
      <w:r w:rsidR="00CA577A">
        <w:rPr>
          <w:rFonts w:ascii="Garamond" w:hAnsi="Garamond"/>
          <w:sz w:val="24"/>
          <w:szCs w:val="24"/>
        </w:rPr>
        <w:t>ne</w:t>
      </w:r>
      <w:r w:rsidRPr="00132751">
        <w:rPr>
          <w:rFonts w:ascii="Garamond" w:hAnsi="Garamond"/>
          <w:sz w:val="24"/>
          <w:szCs w:val="24"/>
        </w:rPr>
        <w:t xml:space="preserve"> (dog alene grundydelser hos de almene praktiserende læger). Endelig er der en </w:t>
      </w:r>
      <w:r w:rsidR="00073EEF">
        <w:rPr>
          <w:rFonts w:ascii="Garamond" w:hAnsi="Garamond"/>
          <w:sz w:val="24"/>
          <w:szCs w:val="24"/>
        </w:rPr>
        <w:t xml:space="preserve">relativ høj takst </w:t>
      </w:r>
      <w:r w:rsidRPr="00132751">
        <w:rPr>
          <w:rFonts w:ascii="Garamond" w:hAnsi="Garamond"/>
          <w:sz w:val="24"/>
          <w:szCs w:val="24"/>
        </w:rPr>
        <w:t>for genoptræningen under indlæggelse</w:t>
      </w:r>
      <w:r w:rsidR="00073EEF">
        <w:rPr>
          <w:rFonts w:ascii="Garamond" w:hAnsi="Garamond"/>
          <w:sz w:val="24"/>
          <w:szCs w:val="24"/>
        </w:rPr>
        <w:t>, som s</w:t>
      </w:r>
      <w:r w:rsidRPr="00132751">
        <w:rPr>
          <w:rFonts w:ascii="Garamond" w:hAnsi="Garamond"/>
          <w:sz w:val="24"/>
          <w:szCs w:val="24"/>
        </w:rPr>
        <w:t xml:space="preserve">kal ses i lyset af, at den ambulante genoptræning er en kommunal opgave. </w:t>
      </w:r>
    </w:p>
    <w:tbl>
      <w:tblPr>
        <w:tblStyle w:val="Tabel-Gitter"/>
        <w:tblW w:w="7513"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513"/>
      </w:tblGrid>
      <w:tr w:rsidR="00132751" w:rsidRPr="004766E3" w:rsidTr="002739BB">
        <w:tc>
          <w:tcPr>
            <w:tcW w:w="7513" w:type="dxa"/>
            <w:tcBorders>
              <w:top w:val="single" w:sz="12" w:space="0" w:color="auto"/>
              <w:left w:val="nil"/>
              <w:bottom w:val="nil"/>
              <w:right w:val="nil"/>
            </w:tcBorders>
            <w:shd w:val="clear" w:color="auto" w:fill="E9EFEC"/>
            <w:hideMark/>
          </w:tcPr>
          <w:p w:rsidR="00132751" w:rsidRPr="00460839" w:rsidRDefault="00073EEF" w:rsidP="006E0EC2">
            <w:pPr>
              <w:spacing w:line="240" w:lineRule="auto"/>
              <w:rPr>
                <w:rFonts w:asciiTheme="minorHAnsi" w:hAnsiTheme="minorHAnsi"/>
                <w:b/>
                <w:color w:val="000000"/>
                <w:sz w:val="16"/>
              </w:rPr>
            </w:pPr>
            <w:r w:rsidRPr="00D457E3">
              <w:rPr>
                <w:rFonts w:asciiTheme="minorHAnsi" w:hAnsiTheme="minorHAnsi"/>
                <w:b/>
                <w:sz w:val="16"/>
              </w:rPr>
              <w:t>Boks</w:t>
            </w:r>
            <w:r w:rsidR="00132751" w:rsidRPr="00D457E3">
              <w:rPr>
                <w:rFonts w:asciiTheme="minorHAnsi" w:hAnsiTheme="minorHAnsi"/>
                <w:b/>
                <w:sz w:val="16"/>
              </w:rPr>
              <w:t xml:space="preserve"> </w:t>
            </w:r>
            <w:r w:rsidR="006E0EC2" w:rsidRPr="00D457E3">
              <w:rPr>
                <w:rFonts w:asciiTheme="minorHAnsi" w:hAnsiTheme="minorHAnsi"/>
                <w:b/>
                <w:sz w:val="16"/>
              </w:rPr>
              <w:t>3</w:t>
            </w:r>
            <w:r w:rsidR="00132751" w:rsidRPr="00D457E3">
              <w:rPr>
                <w:rFonts w:asciiTheme="minorHAnsi" w:hAnsiTheme="minorHAnsi"/>
                <w:b/>
                <w:sz w:val="16"/>
              </w:rPr>
              <w:t>.1</w:t>
            </w:r>
            <w:r w:rsidR="00132751" w:rsidRPr="00D457E3">
              <w:rPr>
                <w:rFonts w:asciiTheme="minorHAnsi" w:hAnsiTheme="minorHAnsi"/>
                <w:b/>
                <w:sz w:val="16"/>
              </w:rPr>
              <w:br/>
            </w:r>
            <w:r w:rsidR="00132751" w:rsidRPr="00D457E3">
              <w:rPr>
                <w:rFonts w:asciiTheme="minorHAnsi" w:hAnsiTheme="minorHAnsi"/>
                <w:b/>
                <w:color w:val="000000"/>
                <w:sz w:val="16"/>
              </w:rPr>
              <w:t>De konkrete satser fordelt på område (takster og maksimale lofter)</w:t>
            </w:r>
          </w:p>
        </w:tc>
      </w:tr>
      <w:tr w:rsidR="00132751" w:rsidRPr="004766E3" w:rsidTr="002739BB">
        <w:tblPrEx>
          <w:tblCellMar>
            <w:left w:w="70" w:type="dxa"/>
            <w:right w:w="70" w:type="dxa"/>
          </w:tblCellMar>
        </w:tblPrEx>
        <w:tc>
          <w:tcPr>
            <w:tcW w:w="7513" w:type="dxa"/>
            <w:tcBorders>
              <w:top w:val="nil"/>
              <w:left w:val="nil"/>
              <w:bottom w:val="single" w:sz="4" w:space="0" w:color="auto"/>
              <w:right w:val="single" w:sz="4" w:space="0" w:color="auto"/>
            </w:tcBorders>
            <w:shd w:val="clear" w:color="auto" w:fill="E9EFEC"/>
            <w:hideMark/>
          </w:tcPr>
          <w:p w:rsidR="00132751" w:rsidRPr="004766E3" w:rsidRDefault="00132751" w:rsidP="00013753">
            <w:pPr>
              <w:spacing w:line="240" w:lineRule="auto"/>
              <w:jc w:val="both"/>
              <w:rPr>
                <w:rFonts w:asciiTheme="minorHAnsi" w:hAnsiTheme="minorHAnsi"/>
                <w:sz w:val="14"/>
              </w:rPr>
            </w:pPr>
          </w:p>
        </w:tc>
      </w:tr>
      <w:tr w:rsidR="00132751" w:rsidRPr="004766E3" w:rsidTr="00A84421">
        <w:tc>
          <w:tcPr>
            <w:tcW w:w="7513" w:type="dxa"/>
            <w:tcBorders>
              <w:top w:val="single" w:sz="4" w:space="0" w:color="auto"/>
              <w:left w:val="nil"/>
              <w:bottom w:val="single" w:sz="12" w:space="0" w:color="auto"/>
              <w:right w:val="nil"/>
            </w:tcBorders>
            <w:shd w:val="clear" w:color="auto" w:fill="E9EFEC"/>
            <w:vAlign w:val="center"/>
          </w:tcPr>
          <w:tbl>
            <w:tblPr>
              <w:tblW w:w="7263" w:type="dxa"/>
              <w:shd w:val="clear" w:color="auto" w:fill="E9EFEC"/>
              <w:tblLayout w:type="fixed"/>
              <w:tblCellMar>
                <w:left w:w="0" w:type="dxa"/>
                <w:right w:w="0" w:type="dxa"/>
              </w:tblCellMar>
              <w:tblLook w:val="04A0" w:firstRow="1" w:lastRow="0" w:firstColumn="1" w:lastColumn="0" w:noHBand="0" w:noVBand="1"/>
            </w:tblPr>
            <w:tblGrid>
              <w:gridCol w:w="2867"/>
              <w:gridCol w:w="4396"/>
            </w:tblGrid>
            <w:tr w:rsidR="00132751" w:rsidRPr="00522AE3" w:rsidTr="006E0EC2">
              <w:trPr>
                <w:trHeight w:val="20"/>
              </w:trPr>
              <w:tc>
                <w:tcPr>
                  <w:tcW w:w="1974" w:type="pct"/>
                  <w:tcBorders>
                    <w:bottom w:val="single" w:sz="8" w:space="0" w:color="auto"/>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sz w:val="14"/>
                      <w:szCs w:val="14"/>
                      <w:lang w:eastAsia="da-DK"/>
                    </w:rPr>
                  </w:pPr>
                </w:p>
              </w:tc>
              <w:tc>
                <w:tcPr>
                  <w:tcW w:w="3026" w:type="pct"/>
                  <w:tcBorders>
                    <w:bottom w:val="single" w:sz="8" w:space="0" w:color="auto"/>
                  </w:tcBorders>
                  <w:shd w:val="clear" w:color="auto" w:fill="E9EFEC"/>
                  <w:vAlign w:val="center"/>
                </w:tcPr>
                <w:p w:rsidR="00132751" w:rsidRPr="00522AE3" w:rsidRDefault="00132751" w:rsidP="00A84421">
                  <w:pPr>
                    <w:spacing w:after="0"/>
                    <w:ind w:firstLine="567"/>
                    <w:jc w:val="both"/>
                    <w:rPr>
                      <w:rFonts w:cs="Arial"/>
                      <w:b/>
                      <w:bCs/>
                      <w:sz w:val="14"/>
                      <w:szCs w:val="14"/>
                      <w:lang w:eastAsia="da-DK"/>
                    </w:rPr>
                  </w:pPr>
                  <w:r w:rsidRPr="00522AE3">
                    <w:rPr>
                      <w:rFonts w:cs="Arial"/>
                      <w:b/>
                      <w:bCs/>
                      <w:sz w:val="14"/>
                      <w:szCs w:val="14"/>
                      <w:lang w:eastAsia="da-DK"/>
                    </w:rPr>
                    <w:t>Nuværende satser</w:t>
                  </w:r>
                  <w:r>
                    <w:rPr>
                      <w:rFonts w:cs="Arial"/>
                      <w:b/>
                      <w:bCs/>
                      <w:sz w:val="14"/>
                      <w:szCs w:val="14"/>
                      <w:lang w:eastAsia="da-DK"/>
                    </w:rPr>
                    <w:t xml:space="preserve"> </w:t>
                  </w:r>
                  <w:r w:rsidRPr="00522AE3">
                    <w:rPr>
                      <w:rFonts w:cs="Arial"/>
                      <w:b/>
                      <w:bCs/>
                      <w:sz w:val="14"/>
                      <w:szCs w:val="14"/>
                      <w:lang w:eastAsia="da-DK"/>
                    </w:rPr>
                    <w:t>(16-pl)</w:t>
                  </w:r>
                </w:p>
              </w:tc>
            </w:tr>
            <w:tr w:rsidR="00132751" w:rsidRPr="00522AE3" w:rsidTr="006E0EC2">
              <w:trPr>
                <w:trHeight w:val="103"/>
              </w:trPr>
              <w:tc>
                <w:tcPr>
                  <w:tcW w:w="1974"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line="240" w:lineRule="auto"/>
                    <w:jc w:val="both"/>
                    <w:rPr>
                      <w:rFonts w:cs="Arial"/>
                      <w:b/>
                      <w:bCs/>
                      <w:sz w:val="14"/>
                      <w:szCs w:val="14"/>
                      <w:lang w:eastAsia="da-DK"/>
                    </w:rPr>
                  </w:pPr>
                  <w:r w:rsidRPr="00522AE3">
                    <w:rPr>
                      <w:rFonts w:cs="Arial"/>
                      <w:b/>
                      <w:bCs/>
                      <w:sz w:val="14"/>
                      <w:szCs w:val="14"/>
                      <w:lang w:eastAsia="da-DK"/>
                    </w:rPr>
                    <w:t>Somatik</w:t>
                  </w:r>
                </w:p>
              </w:tc>
              <w:tc>
                <w:tcPr>
                  <w:tcW w:w="3026" w:type="pct"/>
                  <w:tcBorders>
                    <w:top w:val="single" w:sz="8" w:space="0" w:color="auto"/>
                    <w:left w:val="nil"/>
                    <w:bottom w:val="single" w:sz="8" w:space="0" w:color="auto"/>
                    <w:right w:val="nil"/>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p>
              </w:tc>
            </w:tr>
            <w:tr w:rsidR="00132751" w:rsidRPr="00522AE3" w:rsidTr="006E0EC2">
              <w:trPr>
                <w:trHeight w:val="168"/>
              </w:trPr>
              <w:tc>
                <w:tcPr>
                  <w:tcW w:w="1974" w:type="pct"/>
                  <w:tcBorders>
                    <w:top w:val="single" w:sz="8" w:space="0" w:color="auto"/>
                    <w:bottom w:val="dashed" w:sz="4" w:space="0" w:color="auto"/>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stationær</w:t>
                  </w:r>
                </w:p>
              </w:tc>
              <w:tc>
                <w:tcPr>
                  <w:tcW w:w="3026" w:type="pct"/>
                  <w:tcBorders>
                    <w:top w:val="single" w:sz="8" w:space="0" w:color="auto"/>
                    <w:bottom w:val="dashed" w:sz="4" w:space="0" w:color="auto"/>
                  </w:tcBorders>
                  <w:shd w:val="clear" w:color="auto" w:fill="E9EFEC"/>
                  <w:vAlign w:val="center"/>
                </w:tcPr>
                <w:p w:rsidR="00132751" w:rsidRPr="00522AE3" w:rsidRDefault="00D457E3" w:rsidP="00D457E3">
                  <w:pPr>
                    <w:spacing w:after="0"/>
                    <w:ind w:firstLine="567"/>
                    <w:jc w:val="both"/>
                    <w:rPr>
                      <w:rFonts w:cs="Arial"/>
                      <w:color w:val="000000"/>
                      <w:sz w:val="14"/>
                      <w:szCs w:val="14"/>
                      <w:lang w:eastAsia="da-DK"/>
                    </w:rPr>
                  </w:pPr>
                  <w:r>
                    <w:rPr>
                      <w:rFonts w:cs="Arial"/>
                      <w:color w:val="000000"/>
                      <w:sz w:val="14"/>
                      <w:szCs w:val="14"/>
                      <w:lang w:eastAsia="da-DK"/>
                    </w:rPr>
                    <w:t>34 pct. DRG, dog max 14.811</w:t>
                  </w:r>
                  <w:r w:rsidR="00132751" w:rsidRPr="00522AE3">
                    <w:rPr>
                      <w:rFonts w:cs="Arial"/>
                      <w:color w:val="000000"/>
                      <w:sz w:val="14"/>
                      <w:szCs w:val="14"/>
                      <w:lang w:eastAsia="da-DK"/>
                    </w:rPr>
                    <w:t xml:space="preserve"> kr./indlæggelse</w:t>
                  </w:r>
                </w:p>
              </w:tc>
            </w:tr>
            <w:tr w:rsidR="00132751" w:rsidRPr="00522AE3" w:rsidTr="006E0EC2">
              <w:trPr>
                <w:trHeight w:val="20"/>
              </w:trPr>
              <w:tc>
                <w:tcPr>
                  <w:tcW w:w="1974" w:type="pct"/>
                  <w:tcBorders>
                    <w:top w:val="dashed" w:sz="4" w:space="0" w:color="auto"/>
                    <w:bottom w:val="dashed" w:sz="4" w:space="0" w:color="auto"/>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ambulant</w:t>
                  </w:r>
                </w:p>
              </w:tc>
              <w:tc>
                <w:tcPr>
                  <w:tcW w:w="3026" w:type="pct"/>
                  <w:tcBorders>
                    <w:top w:val="dashed" w:sz="4" w:space="0" w:color="auto"/>
                    <w:bottom w:val="dashed" w:sz="4" w:space="0" w:color="auto"/>
                  </w:tcBorders>
                  <w:shd w:val="clear" w:color="auto" w:fill="E9EFEC"/>
                  <w:vAlign w:val="center"/>
                </w:tcPr>
                <w:p w:rsidR="00132751" w:rsidRPr="00522AE3" w:rsidRDefault="00132751" w:rsidP="00D457E3">
                  <w:pPr>
                    <w:spacing w:after="0"/>
                    <w:ind w:firstLine="567"/>
                    <w:jc w:val="both"/>
                    <w:rPr>
                      <w:rFonts w:cs="Arial"/>
                      <w:color w:val="000000"/>
                      <w:sz w:val="14"/>
                      <w:szCs w:val="14"/>
                      <w:lang w:eastAsia="da-DK"/>
                    </w:rPr>
                  </w:pPr>
                  <w:r w:rsidRPr="00522AE3">
                    <w:rPr>
                      <w:rFonts w:cs="Arial"/>
                      <w:color w:val="000000"/>
                      <w:sz w:val="14"/>
                      <w:szCs w:val="14"/>
                      <w:lang w:eastAsia="da-DK"/>
                    </w:rPr>
                    <w:t>34 pct. DAGS, dog max 1.4</w:t>
                  </w:r>
                  <w:r w:rsidR="00D457E3">
                    <w:rPr>
                      <w:rFonts w:cs="Arial"/>
                      <w:color w:val="000000"/>
                      <w:sz w:val="14"/>
                      <w:szCs w:val="14"/>
                      <w:lang w:eastAsia="da-DK"/>
                    </w:rPr>
                    <w:t>61 kr./besøg, max gråzone 14.811</w:t>
                  </w:r>
                  <w:r w:rsidRPr="00522AE3">
                    <w:rPr>
                      <w:rFonts w:cs="Arial"/>
                      <w:color w:val="000000"/>
                      <w:sz w:val="14"/>
                      <w:szCs w:val="14"/>
                      <w:lang w:eastAsia="da-DK"/>
                    </w:rPr>
                    <w:t xml:space="preserve"> kr.</w:t>
                  </w:r>
                </w:p>
              </w:tc>
            </w:tr>
            <w:tr w:rsidR="00132751" w:rsidRPr="00522AE3" w:rsidTr="006E0EC2">
              <w:trPr>
                <w:trHeight w:val="20"/>
              </w:trPr>
              <w:tc>
                <w:tcPr>
                  <w:tcW w:w="1974"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genoptræning under indlæggelse</w:t>
                  </w:r>
                </w:p>
              </w:tc>
              <w:tc>
                <w:tcPr>
                  <w:tcW w:w="3026" w:type="pct"/>
                  <w:tcBorders>
                    <w:top w:val="dashed" w:sz="4" w:space="0" w:color="auto"/>
                    <w:left w:val="nil"/>
                    <w:bottom w:val="single" w:sz="8" w:space="0" w:color="auto"/>
                    <w:right w:val="nil"/>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r w:rsidRPr="00522AE3">
                    <w:rPr>
                      <w:rFonts w:cs="Arial"/>
                      <w:color w:val="000000"/>
                      <w:sz w:val="14"/>
                      <w:szCs w:val="14"/>
                      <w:lang w:eastAsia="da-DK"/>
                    </w:rPr>
                    <w:t>70 pct. af genoptræningstakst</w:t>
                  </w:r>
                </w:p>
              </w:tc>
            </w:tr>
            <w:tr w:rsidR="00132751" w:rsidRPr="00522AE3" w:rsidTr="006E0EC2">
              <w:trPr>
                <w:trHeight w:val="20"/>
              </w:trPr>
              <w:tc>
                <w:tcPr>
                  <w:tcW w:w="1974" w:type="pct"/>
                  <w:shd w:val="clear" w:color="auto" w:fill="E9EFEC"/>
                  <w:tcMar>
                    <w:top w:w="0" w:type="dxa"/>
                    <w:left w:w="70" w:type="dxa"/>
                    <w:bottom w:w="0" w:type="dxa"/>
                    <w:right w:w="70" w:type="dxa"/>
                  </w:tcMar>
                  <w:vAlign w:val="center"/>
                  <w:hideMark/>
                </w:tcPr>
                <w:p w:rsidR="00132751" w:rsidRPr="00522AE3" w:rsidRDefault="00132751" w:rsidP="00A84421">
                  <w:pPr>
                    <w:spacing w:after="0" w:line="240" w:lineRule="auto"/>
                    <w:jc w:val="both"/>
                    <w:rPr>
                      <w:rFonts w:cs="Arial"/>
                      <w:b/>
                      <w:bCs/>
                      <w:sz w:val="14"/>
                      <w:szCs w:val="14"/>
                      <w:lang w:eastAsia="da-DK"/>
                    </w:rPr>
                  </w:pPr>
                  <w:r w:rsidRPr="00522AE3">
                    <w:rPr>
                      <w:rFonts w:cs="Arial"/>
                      <w:b/>
                      <w:bCs/>
                      <w:sz w:val="14"/>
                      <w:szCs w:val="14"/>
                      <w:lang w:eastAsia="da-DK"/>
                    </w:rPr>
                    <w:t>Praksissektoren</w:t>
                  </w:r>
                </w:p>
              </w:tc>
              <w:tc>
                <w:tcPr>
                  <w:tcW w:w="3026" w:type="pct"/>
                  <w:shd w:val="clear" w:color="auto" w:fill="E9EFEC"/>
                  <w:vAlign w:val="center"/>
                </w:tcPr>
                <w:p w:rsidR="00132751" w:rsidRPr="00522AE3" w:rsidRDefault="00132751" w:rsidP="00A84421">
                  <w:pPr>
                    <w:spacing w:after="0"/>
                    <w:ind w:firstLine="567"/>
                    <w:jc w:val="both"/>
                    <w:rPr>
                      <w:rFonts w:cs="Arial"/>
                      <w:sz w:val="14"/>
                      <w:szCs w:val="14"/>
                      <w:lang w:eastAsia="da-DK"/>
                    </w:rPr>
                  </w:pPr>
                </w:p>
              </w:tc>
            </w:tr>
            <w:tr w:rsidR="00132751" w:rsidRPr="00522AE3" w:rsidTr="006E0EC2">
              <w:trPr>
                <w:trHeight w:val="20"/>
              </w:trPr>
              <w:tc>
                <w:tcPr>
                  <w:tcW w:w="1974"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speciallæger</w:t>
                  </w:r>
                </w:p>
              </w:tc>
              <w:tc>
                <w:tcPr>
                  <w:tcW w:w="3026" w:type="pct"/>
                  <w:tcBorders>
                    <w:top w:val="single" w:sz="8" w:space="0" w:color="auto"/>
                    <w:left w:val="nil"/>
                    <w:bottom w:val="dashed" w:sz="4" w:space="0" w:color="auto"/>
                    <w:right w:val="nil"/>
                  </w:tcBorders>
                  <w:shd w:val="clear" w:color="auto" w:fill="E9EFEC"/>
                  <w:vAlign w:val="center"/>
                </w:tcPr>
                <w:p w:rsidR="00132751" w:rsidRPr="00522AE3" w:rsidRDefault="00132751" w:rsidP="00D457E3">
                  <w:pPr>
                    <w:spacing w:after="0"/>
                    <w:ind w:firstLine="567"/>
                    <w:jc w:val="both"/>
                    <w:rPr>
                      <w:rFonts w:cs="Arial"/>
                      <w:color w:val="000000"/>
                      <w:sz w:val="14"/>
                      <w:szCs w:val="14"/>
                      <w:lang w:eastAsia="da-DK"/>
                    </w:rPr>
                  </w:pPr>
                  <w:r w:rsidRPr="00522AE3">
                    <w:rPr>
                      <w:rFonts w:cs="Arial"/>
                      <w:color w:val="000000"/>
                      <w:sz w:val="14"/>
                      <w:szCs w:val="14"/>
                      <w:lang w:eastAsia="da-DK"/>
                    </w:rPr>
                    <w:t>34 pct. af honorarer, max 1.4</w:t>
                  </w:r>
                  <w:r w:rsidR="00D457E3">
                    <w:rPr>
                      <w:rFonts w:cs="Arial"/>
                      <w:color w:val="000000"/>
                      <w:sz w:val="14"/>
                      <w:szCs w:val="14"/>
                      <w:lang w:eastAsia="da-DK"/>
                    </w:rPr>
                    <w:t>61</w:t>
                  </w:r>
                  <w:r w:rsidRPr="00522AE3">
                    <w:rPr>
                      <w:rFonts w:cs="Arial"/>
                      <w:color w:val="000000"/>
                      <w:sz w:val="14"/>
                      <w:szCs w:val="14"/>
                      <w:lang w:eastAsia="da-DK"/>
                    </w:rPr>
                    <w:t xml:space="preserve"> kr./ydelse</w:t>
                  </w:r>
                </w:p>
              </w:tc>
            </w:tr>
            <w:tr w:rsidR="00132751" w:rsidRPr="00522AE3" w:rsidTr="006E0EC2">
              <w:trPr>
                <w:trHeight w:val="20"/>
              </w:trPr>
              <w:tc>
                <w:tcPr>
                  <w:tcW w:w="1974" w:type="pct"/>
                  <w:tcBorders>
                    <w:top w:val="dashed" w:sz="4" w:space="0" w:color="auto"/>
                    <w:bottom w:val="dashed" w:sz="4" w:space="0" w:color="auto"/>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almen læger</w:t>
                  </w:r>
                </w:p>
              </w:tc>
              <w:tc>
                <w:tcPr>
                  <w:tcW w:w="3026" w:type="pct"/>
                  <w:tcBorders>
                    <w:top w:val="dashed" w:sz="4" w:space="0" w:color="auto"/>
                    <w:bottom w:val="dashed" w:sz="4" w:space="0" w:color="auto"/>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r w:rsidRPr="00522AE3">
                    <w:rPr>
                      <w:rFonts w:cs="Arial"/>
                      <w:color w:val="000000"/>
                      <w:sz w:val="14"/>
                      <w:szCs w:val="14"/>
                      <w:lang w:eastAsia="da-DK"/>
                    </w:rPr>
                    <w:t>10 pct. af honorarer på grundydelse</w:t>
                  </w:r>
                </w:p>
              </w:tc>
            </w:tr>
            <w:tr w:rsidR="00132751" w:rsidRPr="00522AE3" w:rsidTr="006E0EC2">
              <w:trPr>
                <w:trHeight w:val="20"/>
              </w:trPr>
              <w:tc>
                <w:tcPr>
                  <w:tcW w:w="1974"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132751" w:rsidRPr="00522AE3" w:rsidRDefault="003152FB" w:rsidP="00A84421">
                  <w:pPr>
                    <w:spacing w:after="0"/>
                    <w:jc w:val="both"/>
                    <w:rPr>
                      <w:rFonts w:cs="Arial"/>
                      <w:color w:val="000000"/>
                      <w:sz w:val="14"/>
                      <w:szCs w:val="14"/>
                      <w:lang w:eastAsia="da-DK"/>
                    </w:rPr>
                  </w:pPr>
                  <w:r>
                    <w:rPr>
                      <w:rFonts w:cs="Arial"/>
                      <w:color w:val="000000"/>
                      <w:sz w:val="14"/>
                      <w:szCs w:val="14"/>
                      <w:lang w:eastAsia="da-DK"/>
                    </w:rPr>
                    <w:t xml:space="preserve">- </w:t>
                  </w:r>
                  <w:r w:rsidR="00132751" w:rsidRPr="00522AE3">
                    <w:rPr>
                      <w:rFonts w:cs="Arial"/>
                      <w:color w:val="000000"/>
                      <w:sz w:val="14"/>
                      <w:szCs w:val="14"/>
                      <w:lang w:eastAsia="da-DK"/>
                    </w:rPr>
                    <w:t>fysioterapi, tandlæger, fodterapi, psykolog, kiropraktor</w:t>
                  </w:r>
                </w:p>
              </w:tc>
              <w:tc>
                <w:tcPr>
                  <w:tcW w:w="3026" w:type="pct"/>
                  <w:tcBorders>
                    <w:top w:val="dashed" w:sz="4" w:space="0" w:color="auto"/>
                    <w:left w:val="nil"/>
                    <w:bottom w:val="single" w:sz="8" w:space="0" w:color="auto"/>
                    <w:right w:val="nil"/>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r w:rsidRPr="00522AE3">
                    <w:rPr>
                      <w:rFonts w:cs="Arial"/>
                      <w:color w:val="000000"/>
                      <w:sz w:val="14"/>
                      <w:szCs w:val="14"/>
                      <w:lang w:eastAsia="da-DK"/>
                    </w:rPr>
                    <w:t>10 pct. af honorarer</w:t>
                  </w:r>
                </w:p>
              </w:tc>
            </w:tr>
            <w:tr w:rsidR="00132751" w:rsidRPr="00522AE3" w:rsidTr="006E0EC2">
              <w:trPr>
                <w:trHeight w:val="20"/>
              </w:trPr>
              <w:tc>
                <w:tcPr>
                  <w:tcW w:w="1974" w:type="pct"/>
                  <w:tcBorders>
                    <w:top w:val="nil"/>
                    <w:left w:val="nil"/>
                    <w:bottom w:val="single" w:sz="8"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line="240" w:lineRule="auto"/>
                    <w:jc w:val="both"/>
                    <w:rPr>
                      <w:rFonts w:cs="Arial"/>
                      <w:color w:val="000000"/>
                      <w:sz w:val="14"/>
                      <w:szCs w:val="14"/>
                      <w:lang w:eastAsia="da-DK"/>
                    </w:rPr>
                  </w:pPr>
                  <w:r w:rsidRPr="00522AE3">
                    <w:rPr>
                      <w:rFonts w:cs="Arial"/>
                      <w:b/>
                      <w:color w:val="000000"/>
                      <w:sz w:val="14"/>
                      <w:szCs w:val="14"/>
                      <w:lang w:eastAsia="da-DK"/>
                    </w:rPr>
                    <w:t>Psykiatri</w:t>
                  </w:r>
                </w:p>
              </w:tc>
              <w:tc>
                <w:tcPr>
                  <w:tcW w:w="3026" w:type="pct"/>
                  <w:tcBorders>
                    <w:top w:val="nil"/>
                    <w:left w:val="nil"/>
                    <w:bottom w:val="single" w:sz="8" w:space="0" w:color="auto"/>
                    <w:right w:val="nil"/>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p>
              </w:tc>
            </w:tr>
            <w:tr w:rsidR="00132751" w:rsidRPr="00522AE3" w:rsidTr="006E0EC2">
              <w:trPr>
                <w:trHeight w:val="20"/>
              </w:trPr>
              <w:tc>
                <w:tcPr>
                  <w:tcW w:w="1974"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stationær</w:t>
                  </w:r>
                </w:p>
              </w:tc>
              <w:tc>
                <w:tcPr>
                  <w:tcW w:w="3026" w:type="pct"/>
                  <w:tcBorders>
                    <w:top w:val="single" w:sz="8" w:space="0" w:color="auto"/>
                    <w:left w:val="nil"/>
                    <w:bottom w:val="dashed" w:sz="4" w:space="0" w:color="auto"/>
                    <w:right w:val="nil"/>
                  </w:tcBorders>
                  <w:shd w:val="clear" w:color="auto" w:fill="E9EFEC"/>
                  <w:vAlign w:val="center"/>
                </w:tcPr>
                <w:p w:rsidR="00132751" w:rsidRPr="00522AE3" w:rsidRDefault="00132751" w:rsidP="00A84421">
                  <w:pPr>
                    <w:spacing w:after="0"/>
                    <w:ind w:firstLine="567"/>
                    <w:jc w:val="both"/>
                    <w:rPr>
                      <w:rFonts w:cs="Arial"/>
                      <w:color w:val="000000"/>
                      <w:sz w:val="14"/>
                      <w:szCs w:val="14"/>
                      <w:lang w:eastAsia="da-DK"/>
                    </w:rPr>
                  </w:pPr>
                  <w:r w:rsidRPr="00522AE3">
                    <w:rPr>
                      <w:rFonts w:cs="Arial"/>
                      <w:color w:val="000000"/>
                      <w:sz w:val="14"/>
                      <w:szCs w:val="14"/>
                      <w:lang w:eastAsia="da-DK"/>
                    </w:rPr>
                    <w:t>60</w:t>
                  </w:r>
                  <w:r w:rsidR="00D457E3">
                    <w:rPr>
                      <w:rFonts w:cs="Arial"/>
                      <w:color w:val="000000"/>
                      <w:sz w:val="14"/>
                      <w:szCs w:val="14"/>
                      <w:lang w:eastAsia="da-DK"/>
                    </w:rPr>
                    <w:t xml:space="preserve"> pct. af sengedagstakst, max 8.</w:t>
                  </w:r>
                  <w:r w:rsidRPr="00522AE3">
                    <w:rPr>
                      <w:rFonts w:cs="Arial"/>
                      <w:color w:val="000000"/>
                      <w:sz w:val="14"/>
                      <w:szCs w:val="14"/>
                      <w:lang w:eastAsia="da-DK"/>
                    </w:rPr>
                    <w:t>5</w:t>
                  </w:r>
                  <w:r w:rsidR="00D457E3">
                    <w:rPr>
                      <w:rFonts w:cs="Arial"/>
                      <w:color w:val="000000"/>
                      <w:sz w:val="14"/>
                      <w:szCs w:val="14"/>
                      <w:lang w:eastAsia="da-DK"/>
                    </w:rPr>
                    <w:t>6</w:t>
                  </w:r>
                  <w:r w:rsidRPr="00522AE3">
                    <w:rPr>
                      <w:rFonts w:cs="Arial"/>
                      <w:color w:val="000000"/>
                      <w:sz w:val="14"/>
                      <w:szCs w:val="14"/>
                      <w:lang w:eastAsia="da-DK"/>
                    </w:rPr>
                    <w:t>8 kr./indlæggelse</w:t>
                  </w:r>
                </w:p>
              </w:tc>
            </w:tr>
            <w:tr w:rsidR="00132751" w:rsidRPr="00522AE3" w:rsidTr="006E0EC2">
              <w:trPr>
                <w:trHeight w:val="20"/>
              </w:trPr>
              <w:tc>
                <w:tcPr>
                  <w:tcW w:w="1974"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132751" w:rsidRPr="00522AE3" w:rsidRDefault="00132751" w:rsidP="00A84421">
                  <w:pPr>
                    <w:spacing w:after="0"/>
                    <w:jc w:val="both"/>
                    <w:rPr>
                      <w:rFonts w:cs="Arial"/>
                      <w:color w:val="000000"/>
                      <w:sz w:val="14"/>
                      <w:szCs w:val="14"/>
                      <w:lang w:eastAsia="da-DK"/>
                    </w:rPr>
                  </w:pPr>
                  <w:r w:rsidRPr="00522AE3">
                    <w:rPr>
                      <w:rFonts w:cs="Arial"/>
                      <w:color w:val="000000"/>
                      <w:sz w:val="14"/>
                      <w:szCs w:val="14"/>
                      <w:lang w:eastAsia="da-DK"/>
                    </w:rPr>
                    <w:t>- ambulant</w:t>
                  </w:r>
                </w:p>
              </w:tc>
              <w:tc>
                <w:tcPr>
                  <w:tcW w:w="3026" w:type="pct"/>
                  <w:tcBorders>
                    <w:top w:val="dashed" w:sz="4" w:space="0" w:color="auto"/>
                    <w:left w:val="nil"/>
                    <w:bottom w:val="single" w:sz="8" w:space="0" w:color="auto"/>
                    <w:right w:val="nil"/>
                  </w:tcBorders>
                  <w:shd w:val="clear" w:color="auto" w:fill="E9EFEC"/>
                  <w:vAlign w:val="center"/>
                </w:tcPr>
                <w:p w:rsidR="00132751" w:rsidRPr="00522AE3" w:rsidRDefault="00132751" w:rsidP="00D457E3">
                  <w:pPr>
                    <w:spacing w:after="0"/>
                    <w:ind w:firstLine="567"/>
                    <w:jc w:val="both"/>
                    <w:rPr>
                      <w:rFonts w:cs="Arial"/>
                      <w:color w:val="000000"/>
                      <w:sz w:val="14"/>
                      <w:szCs w:val="14"/>
                      <w:lang w:eastAsia="da-DK"/>
                    </w:rPr>
                  </w:pPr>
                  <w:r w:rsidRPr="00522AE3">
                    <w:rPr>
                      <w:rFonts w:cs="Arial"/>
                      <w:color w:val="000000"/>
                      <w:sz w:val="14"/>
                      <w:szCs w:val="14"/>
                      <w:lang w:eastAsia="da-DK"/>
                    </w:rPr>
                    <w:t>30 pct. af besøgstakst</w:t>
                  </w:r>
                  <w:r w:rsidR="00D457E3">
                    <w:rPr>
                      <w:rFonts w:cs="Arial"/>
                      <w:color w:val="000000"/>
                      <w:sz w:val="14"/>
                      <w:szCs w:val="14"/>
                      <w:lang w:eastAsia="da-DK"/>
                    </w:rPr>
                    <w:t>, max 536</w:t>
                  </w:r>
                  <w:r w:rsidR="00D457E3" w:rsidRPr="00522AE3">
                    <w:rPr>
                      <w:rFonts w:cs="Arial"/>
                      <w:color w:val="000000"/>
                      <w:sz w:val="14"/>
                      <w:szCs w:val="14"/>
                      <w:lang w:eastAsia="da-DK"/>
                    </w:rPr>
                    <w:t xml:space="preserve"> kr./</w:t>
                  </w:r>
                  <w:r w:rsidR="00D457E3">
                    <w:rPr>
                      <w:rFonts w:cs="Arial"/>
                      <w:color w:val="000000"/>
                      <w:sz w:val="14"/>
                      <w:szCs w:val="14"/>
                      <w:lang w:eastAsia="da-DK"/>
                    </w:rPr>
                    <w:t>besøg</w:t>
                  </w:r>
                </w:p>
              </w:tc>
            </w:tr>
          </w:tbl>
          <w:p w:rsidR="00132751" w:rsidRPr="004766E3" w:rsidRDefault="00132751" w:rsidP="00013753">
            <w:pPr>
              <w:spacing w:line="240" w:lineRule="auto"/>
              <w:jc w:val="both"/>
              <w:rPr>
                <w:rFonts w:asciiTheme="minorHAnsi" w:hAnsiTheme="minorHAnsi"/>
                <w:sz w:val="12"/>
              </w:rPr>
            </w:pPr>
          </w:p>
        </w:tc>
      </w:tr>
    </w:tbl>
    <w:p w:rsidR="00132751" w:rsidRDefault="003B5520" w:rsidP="00013753">
      <w:pPr>
        <w:pStyle w:val="Overskrift1"/>
        <w:jc w:val="both"/>
        <w:rPr>
          <w:b w:val="0"/>
          <w:color w:val="17365D" w:themeColor="text2" w:themeShade="BF"/>
        </w:rPr>
      </w:pPr>
      <w:bookmarkStart w:id="7" w:name="_Toc451358722"/>
      <w:r>
        <w:rPr>
          <w:b w:val="0"/>
          <w:color w:val="17365D" w:themeColor="text2" w:themeShade="BF"/>
        </w:rPr>
        <w:t>3</w:t>
      </w:r>
      <w:r w:rsidR="00132751">
        <w:rPr>
          <w:b w:val="0"/>
          <w:color w:val="17365D" w:themeColor="text2" w:themeShade="BF"/>
        </w:rPr>
        <w:t xml:space="preserve">.2 </w:t>
      </w:r>
      <w:r w:rsidR="00132751" w:rsidRPr="00132751">
        <w:rPr>
          <w:b w:val="0"/>
          <w:color w:val="17365D" w:themeColor="text2" w:themeShade="BF"/>
        </w:rPr>
        <w:t>En differentieret KMF</w:t>
      </w:r>
      <w:bookmarkEnd w:id="7"/>
    </w:p>
    <w:p w:rsidR="00725798" w:rsidRDefault="00725798" w:rsidP="00351954">
      <w:pPr>
        <w:pStyle w:val="Overskrift3"/>
        <w:spacing w:before="0"/>
        <w:rPr>
          <w:color w:val="365F91" w:themeColor="accent1" w:themeShade="BF"/>
        </w:rPr>
      </w:pPr>
      <w:bookmarkStart w:id="8" w:name="_Toc451358723"/>
      <w:r>
        <w:rPr>
          <w:b w:val="0"/>
          <w:color w:val="365F91" w:themeColor="accent1" w:themeShade="BF"/>
        </w:rPr>
        <w:t xml:space="preserve">3.2.1 </w:t>
      </w:r>
      <w:r w:rsidRPr="00351954">
        <w:rPr>
          <w:b w:val="0"/>
          <w:color w:val="365F91" w:themeColor="accent1" w:themeShade="BF"/>
        </w:rPr>
        <w:t>Overordne</w:t>
      </w:r>
      <w:r>
        <w:rPr>
          <w:b w:val="0"/>
          <w:color w:val="365F91" w:themeColor="accent1" w:themeShade="BF"/>
        </w:rPr>
        <w:t>de</w:t>
      </w:r>
      <w:r w:rsidRPr="00351954">
        <w:rPr>
          <w:b w:val="0"/>
          <w:color w:val="365F91" w:themeColor="accent1" w:themeShade="BF"/>
        </w:rPr>
        <w:t xml:space="preserve"> principper for </w:t>
      </w:r>
      <w:r w:rsidR="00FD6ABC">
        <w:rPr>
          <w:b w:val="0"/>
          <w:color w:val="365F91" w:themeColor="accent1" w:themeShade="BF"/>
        </w:rPr>
        <w:t xml:space="preserve">en </w:t>
      </w:r>
      <w:r w:rsidRPr="00351954">
        <w:rPr>
          <w:b w:val="0"/>
          <w:color w:val="365F91" w:themeColor="accent1" w:themeShade="BF"/>
        </w:rPr>
        <w:t>differentiere</w:t>
      </w:r>
      <w:r w:rsidR="00FD6ABC">
        <w:rPr>
          <w:b w:val="0"/>
          <w:color w:val="365F91" w:themeColor="accent1" w:themeShade="BF"/>
        </w:rPr>
        <w:t>t</w:t>
      </w:r>
      <w:r w:rsidRPr="00351954">
        <w:rPr>
          <w:b w:val="0"/>
          <w:color w:val="365F91" w:themeColor="accent1" w:themeShade="BF"/>
        </w:rPr>
        <w:t xml:space="preserve"> KMF</w:t>
      </w:r>
      <w:bookmarkEnd w:id="8"/>
    </w:p>
    <w:p w:rsidR="008D1A76" w:rsidRDefault="00025285" w:rsidP="0045317C">
      <w:pPr>
        <w:jc w:val="both"/>
        <w:rPr>
          <w:rFonts w:ascii="Garamond" w:hAnsi="Garamond"/>
          <w:sz w:val="24"/>
          <w:szCs w:val="24"/>
        </w:rPr>
      </w:pPr>
      <w:r>
        <w:rPr>
          <w:rFonts w:ascii="Garamond" w:hAnsi="Garamond"/>
          <w:sz w:val="24"/>
          <w:szCs w:val="24"/>
        </w:rPr>
        <w:t xml:space="preserve">Såfremt den generelle ordning </w:t>
      </w:r>
      <w:r w:rsidR="0045317C">
        <w:rPr>
          <w:rFonts w:ascii="Garamond" w:hAnsi="Garamond"/>
          <w:sz w:val="24"/>
          <w:szCs w:val="24"/>
        </w:rPr>
        <w:t xml:space="preserve">skal målrettes grupper af borgere </w:t>
      </w:r>
      <w:r w:rsidR="00113A90">
        <w:rPr>
          <w:rFonts w:ascii="Garamond" w:hAnsi="Garamond"/>
          <w:sz w:val="24"/>
          <w:szCs w:val="24"/>
        </w:rPr>
        <w:t xml:space="preserve">danner </w:t>
      </w:r>
      <w:r>
        <w:rPr>
          <w:rFonts w:ascii="Garamond" w:hAnsi="Garamond"/>
          <w:sz w:val="24"/>
          <w:szCs w:val="24"/>
        </w:rPr>
        <w:t xml:space="preserve">følgende principper rammen </w:t>
      </w:r>
      <w:r w:rsidR="00C70E7B">
        <w:rPr>
          <w:rFonts w:ascii="Garamond" w:hAnsi="Garamond"/>
          <w:sz w:val="24"/>
          <w:szCs w:val="24"/>
        </w:rPr>
        <w:t xml:space="preserve">for </w:t>
      </w:r>
      <w:r>
        <w:rPr>
          <w:rFonts w:ascii="Garamond" w:hAnsi="Garamond"/>
          <w:sz w:val="24"/>
          <w:szCs w:val="24"/>
        </w:rPr>
        <w:t>en</w:t>
      </w:r>
      <w:r w:rsidR="00C70E7B">
        <w:rPr>
          <w:rFonts w:ascii="Garamond" w:hAnsi="Garamond"/>
          <w:sz w:val="24"/>
          <w:szCs w:val="24"/>
        </w:rPr>
        <w:t xml:space="preserve"> </w:t>
      </w:r>
      <w:r w:rsidR="0045317C">
        <w:rPr>
          <w:rFonts w:ascii="Garamond" w:hAnsi="Garamond"/>
          <w:sz w:val="24"/>
          <w:szCs w:val="24"/>
        </w:rPr>
        <w:t>differentiering</w:t>
      </w:r>
      <w:r w:rsidR="008D1A76">
        <w:rPr>
          <w:rFonts w:ascii="Garamond" w:hAnsi="Garamond"/>
          <w:sz w:val="24"/>
          <w:szCs w:val="24"/>
        </w:rPr>
        <w:t>:</w:t>
      </w:r>
    </w:p>
    <w:p w:rsidR="003B4BFC" w:rsidRPr="00757971" w:rsidRDefault="003B4BFC" w:rsidP="00351954">
      <w:pPr>
        <w:spacing w:after="0"/>
        <w:jc w:val="both"/>
        <w:rPr>
          <w:rFonts w:ascii="Garamond" w:hAnsi="Garamond"/>
          <w:sz w:val="24"/>
          <w:szCs w:val="24"/>
        </w:rPr>
      </w:pPr>
      <w:r w:rsidRPr="00351954">
        <w:rPr>
          <w:rFonts w:ascii="Garamond" w:hAnsi="Garamond"/>
          <w:i/>
        </w:rPr>
        <w:t xml:space="preserve">Differentieringen </w:t>
      </w:r>
      <w:r w:rsidR="0045317C">
        <w:rPr>
          <w:rFonts w:ascii="Garamond" w:hAnsi="Garamond"/>
          <w:i/>
        </w:rPr>
        <w:t>skal være</w:t>
      </w:r>
      <w:r w:rsidRPr="00351954">
        <w:rPr>
          <w:rFonts w:ascii="Garamond" w:hAnsi="Garamond"/>
          <w:i/>
        </w:rPr>
        <w:t>:</w:t>
      </w:r>
    </w:p>
    <w:p w:rsidR="00725798" w:rsidRPr="00351954" w:rsidRDefault="008514B5" w:rsidP="00351954">
      <w:pPr>
        <w:pStyle w:val="Listeafsnit"/>
        <w:numPr>
          <w:ilvl w:val="0"/>
          <w:numId w:val="23"/>
        </w:numPr>
        <w:spacing w:line="276" w:lineRule="auto"/>
        <w:ind w:left="284" w:hanging="284"/>
        <w:jc w:val="both"/>
        <w:rPr>
          <w:i/>
        </w:rPr>
      </w:pPr>
      <w:r w:rsidRPr="00351954">
        <w:rPr>
          <w:i/>
        </w:rPr>
        <w:t>o</w:t>
      </w:r>
      <w:r w:rsidR="00954DE2" w:rsidRPr="00351954">
        <w:rPr>
          <w:i/>
        </w:rPr>
        <w:t>bjektiv</w:t>
      </w:r>
      <w:r w:rsidRPr="00351954">
        <w:rPr>
          <w:i/>
        </w:rPr>
        <w:t xml:space="preserve"> - </w:t>
      </w:r>
      <w:r w:rsidR="00725798" w:rsidRPr="00351954">
        <w:rPr>
          <w:i/>
        </w:rPr>
        <w:t>bero</w:t>
      </w:r>
      <w:r w:rsidR="006F660A" w:rsidRPr="00351954">
        <w:rPr>
          <w:i/>
        </w:rPr>
        <w:t>r</w:t>
      </w:r>
      <w:r w:rsidR="00D523E3" w:rsidRPr="00351954">
        <w:rPr>
          <w:i/>
        </w:rPr>
        <w:t xml:space="preserve"> </w:t>
      </w:r>
      <w:r w:rsidR="00725798" w:rsidRPr="00351954">
        <w:rPr>
          <w:i/>
        </w:rPr>
        <w:t xml:space="preserve">på </w:t>
      </w:r>
      <w:r w:rsidRPr="00351954">
        <w:rPr>
          <w:i/>
        </w:rPr>
        <w:t>objektive</w:t>
      </w:r>
      <w:r w:rsidR="007A7454" w:rsidRPr="00351954">
        <w:rPr>
          <w:i/>
        </w:rPr>
        <w:t xml:space="preserve"> </w:t>
      </w:r>
      <w:r w:rsidR="00D523E3" w:rsidRPr="00351954">
        <w:rPr>
          <w:i/>
        </w:rPr>
        <w:t>kriterier/</w:t>
      </w:r>
      <w:r w:rsidR="00725798" w:rsidRPr="00351954">
        <w:rPr>
          <w:i/>
        </w:rPr>
        <w:t>vurdering</w:t>
      </w:r>
      <w:r w:rsidR="00C70E7B" w:rsidRPr="00351954">
        <w:rPr>
          <w:i/>
        </w:rPr>
        <w:t>er</w:t>
      </w:r>
    </w:p>
    <w:p w:rsidR="00C70E7B" w:rsidRPr="00351954" w:rsidRDefault="00697746" w:rsidP="00351954">
      <w:pPr>
        <w:pStyle w:val="Listeafsnit"/>
        <w:numPr>
          <w:ilvl w:val="0"/>
          <w:numId w:val="23"/>
        </w:numPr>
        <w:spacing w:line="276" w:lineRule="auto"/>
        <w:ind w:left="284" w:hanging="284"/>
        <w:jc w:val="both"/>
        <w:rPr>
          <w:i/>
        </w:rPr>
      </w:pPr>
      <w:r w:rsidRPr="00351954">
        <w:rPr>
          <w:i/>
        </w:rPr>
        <w:t xml:space="preserve">enkelt og </w:t>
      </w:r>
      <w:r w:rsidR="008514B5" w:rsidRPr="00351954">
        <w:rPr>
          <w:i/>
        </w:rPr>
        <w:t>g</w:t>
      </w:r>
      <w:r w:rsidR="00C70E7B" w:rsidRPr="00351954">
        <w:rPr>
          <w:i/>
        </w:rPr>
        <w:t>ennemsigtig</w:t>
      </w:r>
      <w:r w:rsidR="008514B5" w:rsidRPr="00757971">
        <w:rPr>
          <w:i/>
        </w:rPr>
        <w:t>/gennemskuelig</w:t>
      </w:r>
      <w:r w:rsidR="00D523E3" w:rsidRPr="00351954">
        <w:rPr>
          <w:i/>
        </w:rPr>
        <w:t xml:space="preserve"> </w:t>
      </w:r>
      <w:r w:rsidR="00954DE2" w:rsidRPr="00351954">
        <w:rPr>
          <w:i/>
        </w:rPr>
        <w:t>for kommunerne</w:t>
      </w:r>
    </w:p>
    <w:p w:rsidR="00D523E3" w:rsidRPr="00351954" w:rsidRDefault="00D523E3" w:rsidP="00351954">
      <w:pPr>
        <w:pStyle w:val="Listeafsnit"/>
        <w:numPr>
          <w:ilvl w:val="0"/>
          <w:numId w:val="23"/>
        </w:numPr>
        <w:spacing w:line="276" w:lineRule="auto"/>
        <w:ind w:left="284" w:hanging="284"/>
        <w:jc w:val="both"/>
        <w:rPr>
          <w:i/>
        </w:rPr>
      </w:pPr>
      <w:r w:rsidRPr="00351954">
        <w:rPr>
          <w:i/>
        </w:rPr>
        <w:t>stabil over tid</w:t>
      </w:r>
    </w:p>
    <w:p w:rsidR="00FE0D75" w:rsidRPr="00757971" w:rsidRDefault="00D523E3" w:rsidP="00351954">
      <w:pPr>
        <w:pStyle w:val="Listeafsnit"/>
        <w:numPr>
          <w:ilvl w:val="0"/>
          <w:numId w:val="23"/>
        </w:numPr>
        <w:spacing w:line="276" w:lineRule="auto"/>
        <w:ind w:left="284" w:hanging="284"/>
        <w:jc w:val="both"/>
        <w:rPr>
          <w:i/>
        </w:rPr>
      </w:pPr>
      <w:r w:rsidRPr="00351954">
        <w:rPr>
          <w:i/>
        </w:rPr>
        <w:t xml:space="preserve">ikke </w:t>
      </w:r>
      <w:r w:rsidR="00113A90" w:rsidRPr="00351954">
        <w:rPr>
          <w:i/>
        </w:rPr>
        <w:t>administrativ tung</w:t>
      </w:r>
    </w:p>
    <w:p w:rsidR="003B4BFC" w:rsidRDefault="003B4BFC" w:rsidP="00351954">
      <w:pPr>
        <w:spacing w:after="0"/>
        <w:jc w:val="both"/>
        <w:rPr>
          <w:rFonts w:ascii="Garamond" w:hAnsi="Garamond"/>
          <w:i/>
        </w:rPr>
      </w:pPr>
    </w:p>
    <w:p w:rsidR="003B4BFC" w:rsidRPr="00351954" w:rsidRDefault="003B4BFC" w:rsidP="00351954">
      <w:pPr>
        <w:spacing w:after="0"/>
        <w:jc w:val="both"/>
        <w:rPr>
          <w:rFonts w:ascii="Garamond" w:hAnsi="Garamond"/>
          <w:i/>
        </w:rPr>
      </w:pPr>
      <w:r w:rsidRPr="00351954">
        <w:rPr>
          <w:rFonts w:ascii="Garamond" w:hAnsi="Garamond"/>
          <w:i/>
        </w:rPr>
        <w:t>Ved en differentiering</w:t>
      </w:r>
      <w:r w:rsidR="00757971">
        <w:rPr>
          <w:rFonts w:ascii="Garamond" w:hAnsi="Garamond"/>
          <w:i/>
        </w:rPr>
        <w:t xml:space="preserve"> skal</w:t>
      </w:r>
      <w:r w:rsidRPr="00351954">
        <w:rPr>
          <w:rFonts w:ascii="Garamond" w:hAnsi="Garamond"/>
          <w:i/>
        </w:rPr>
        <w:t>:</w:t>
      </w:r>
    </w:p>
    <w:p w:rsidR="00503F90" w:rsidRPr="00BF498C" w:rsidRDefault="0055617A" w:rsidP="00351954">
      <w:pPr>
        <w:pStyle w:val="Listeafsnit"/>
        <w:numPr>
          <w:ilvl w:val="0"/>
          <w:numId w:val="23"/>
        </w:numPr>
        <w:spacing w:after="240" w:line="240" w:lineRule="auto"/>
        <w:ind w:left="284" w:hanging="284"/>
        <w:jc w:val="both"/>
        <w:rPr>
          <w:i/>
        </w:rPr>
      </w:pPr>
      <w:r>
        <w:rPr>
          <w:i/>
        </w:rPr>
        <w:t>der</w:t>
      </w:r>
      <w:r w:rsidR="009B0668">
        <w:rPr>
          <w:i/>
        </w:rPr>
        <w:t xml:space="preserve"> </w:t>
      </w:r>
      <w:r>
        <w:rPr>
          <w:i/>
        </w:rPr>
        <w:t xml:space="preserve">ikke </w:t>
      </w:r>
      <w:r w:rsidR="009B0668">
        <w:rPr>
          <w:i/>
        </w:rPr>
        <w:t>ændre</w:t>
      </w:r>
      <w:r>
        <w:rPr>
          <w:i/>
        </w:rPr>
        <w:t>s</w:t>
      </w:r>
      <w:r w:rsidR="009B0668">
        <w:rPr>
          <w:i/>
        </w:rPr>
        <w:t xml:space="preserve"> på KMF-niveauet</w:t>
      </w:r>
      <w:r w:rsidR="00860508">
        <w:rPr>
          <w:i/>
        </w:rPr>
        <w:t xml:space="preserve"> i </w:t>
      </w:r>
      <w:r w:rsidR="00FE6833">
        <w:rPr>
          <w:i/>
        </w:rPr>
        <w:t>omlægningsåret</w:t>
      </w:r>
      <w:r w:rsidR="009B0668">
        <w:rPr>
          <w:i/>
        </w:rPr>
        <w:t xml:space="preserve">. </w:t>
      </w:r>
    </w:p>
    <w:p w:rsidR="00D62AEB" w:rsidRPr="00351954" w:rsidRDefault="00954DE2" w:rsidP="00351954">
      <w:pPr>
        <w:pStyle w:val="Listeafsnit"/>
        <w:numPr>
          <w:ilvl w:val="0"/>
          <w:numId w:val="23"/>
        </w:numPr>
        <w:spacing w:before="240" w:line="240" w:lineRule="auto"/>
        <w:ind w:left="284" w:hanging="284"/>
        <w:jc w:val="both"/>
        <w:rPr>
          <w:i/>
        </w:rPr>
      </w:pPr>
      <w:r w:rsidRPr="00351954">
        <w:rPr>
          <w:i/>
        </w:rPr>
        <w:t xml:space="preserve">både </w:t>
      </w:r>
      <w:r w:rsidR="00D62AEB" w:rsidRPr="00351954">
        <w:rPr>
          <w:i/>
        </w:rPr>
        <w:t>pct.sats</w:t>
      </w:r>
      <w:r w:rsidRPr="00351954">
        <w:rPr>
          <w:i/>
        </w:rPr>
        <w:t>e</w:t>
      </w:r>
      <w:r w:rsidR="0042731D">
        <w:rPr>
          <w:i/>
        </w:rPr>
        <w:t>r</w:t>
      </w:r>
      <w:r w:rsidR="00D62AEB" w:rsidRPr="00351954">
        <w:rPr>
          <w:i/>
        </w:rPr>
        <w:t xml:space="preserve"> </w:t>
      </w:r>
      <w:r w:rsidRPr="00351954">
        <w:rPr>
          <w:i/>
        </w:rPr>
        <w:t xml:space="preserve">og </w:t>
      </w:r>
      <w:r w:rsidR="0042731D">
        <w:rPr>
          <w:i/>
        </w:rPr>
        <w:t xml:space="preserve">maksimal </w:t>
      </w:r>
      <w:r w:rsidRPr="00351954">
        <w:rPr>
          <w:i/>
        </w:rPr>
        <w:t>lofter</w:t>
      </w:r>
      <w:r w:rsidR="00697746" w:rsidRPr="00697746">
        <w:rPr>
          <w:i/>
        </w:rPr>
        <w:t xml:space="preserve"> </w:t>
      </w:r>
      <w:r w:rsidR="00697746">
        <w:rPr>
          <w:i/>
        </w:rPr>
        <w:t>ændres</w:t>
      </w:r>
      <w:r w:rsidRPr="00351954">
        <w:rPr>
          <w:i/>
        </w:rPr>
        <w:t xml:space="preserve">, så </w:t>
      </w:r>
      <w:r w:rsidR="00D523E3" w:rsidRPr="00351954">
        <w:rPr>
          <w:i/>
        </w:rPr>
        <w:t>de to mekanismer</w:t>
      </w:r>
      <w:r w:rsidR="00C70E7B" w:rsidRPr="00351954">
        <w:rPr>
          <w:i/>
        </w:rPr>
        <w:t xml:space="preserve"> </w:t>
      </w:r>
      <w:r w:rsidR="009B0668">
        <w:rPr>
          <w:i/>
        </w:rPr>
        <w:t xml:space="preserve">som udgangspunkt </w:t>
      </w:r>
      <w:r w:rsidR="004B4E64" w:rsidRPr="00351954">
        <w:rPr>
          <w:i/>
        </w:rPr>
        <w:t>følges ad</w:t>
      </w:r>
      <w:r w:rsidR="00697746">
        <w:rPr>
          <w:i/>
        </w:rPr>
        <w:t xml:space="preserve"> dvs. en stigning i procentsatsen medfører</w:t>
      </w:r>
      <w:r w:rsidR="00757971">
        <w:rPr>
          <w:i/>
        </w:rPr>
        <w:t>,</w:t>
      </w:r>
      <w:r w:rsidR="00697746">
        <w:rPr>
          <w:i/>
        </w:rPr>
        <w:t xml:space="preserve"> at loftet også hæves </w:t>
      </w:r>
    </w:p>
    <w:p w:rsidR="00725798" w:rsidRPr="008D1A76" w:rsidRDefault="00697746" w:rsidP="00351954">
      <w:pPr>
        <w:pStyle w:val="Listeafsnit"/>
        <w:numPr>
          <w:ilvl w:val="0"/>
          <w:numId w:val="23"/>
        </w:numPr>
        <w:spacing w:line="240" w:lineRule="auto"/>
        <w:ind w:left="284" w:hanging="284"/>
        <w:jc w:val="both"/>
        <w:rPr>
          <w:i/>
        </w:rPr>
      </w:pPr>
      <w:r>
        <w:rPr>
          <w:i/>
        </w:rPr>
        <w:t>såvel den bre</w:t>
      </w:r>
      <w:r w:rsidR="00757971">
        <w:rPr>
          <w:i/>
        </w:rPr>
        <w:t>de borger</w:t>
      </w:r>
      <w:r>
        <w:rPr>
          <w:i/>
        </w:rPr>
        <w:t>rettede o</w:t>
      </w:r>
      <w:r w:rsidR="00757971">
        <w:rPr>
          <w:i/>
        </w:rPr>
        <w:t>g patientrettede f</w:t>
      </w:r>
      <w:r>
        <w:rPr>
          <w:i/>
        </w:rPr>
        <w:t>orebyggelse</w:t>
      </w:r>
      <w:r w:rsidR="00757971" w:rsidRPr="00757971">
        <w:rPr>
          <w:i/>
        </w:rPr>
        <w:t xml:space="preserve"> </w:t>
      </w:r>
      <w:r w:rsidR="00757971">
        <w:rPr>
          <w:i/>
        </w:rPr>
        <w:t>understøttes</w:t>
      </w:r>
      <w:r w:rsidR="0045317C">
        <w:rPr>
          <w:i/>
        </w:rPr>
        <w:t>, hvorfor m</w:t>
      </w:r>
      <w:r w:rsidR="00503F90">
        <w:rPr>
          <w:i/>
        </w:rPr>
        <w:t>edfinansieringsandelen</w:t>
      </w:r>
      <w:r w:rsidR="008514B5">
        <w:rPr>
          <w:i/>
        </w:rPr>
        <w:t>e</w:t>
      </w:r>
      <w:r w:rsidR="00503F90">
        <w:rPr>
          <w:i/>
        </w:rPr>
        <w:t xml:space="preserve"> </w:t>
      </w:r>
      <w:r w:rsidR="0045317C">
        <w:rPr>
          <w:i/>
        </w:rPr>
        <w:t xml:space="preserve">ikke </w:t>
      </w:r>
      <w:r>
        <w:rPr>
          <w:i/>
        </w:rPr>
        <w:t>skal afvige markant fra gruppe til gruppe</w:t>
      </w:r>
      <w:r w:rsidR="000633DD" w:rsidRPr="00351954">
        <w:rPr>
          <w:i/>
        </w:rPr>
        <w:t xml:space="preserve">. </w:t>
      </w:r>
    </w:p>
    <w:p w:rsidR="00E4204A" w:rsidRPr="00B046DA" w:rsidRDefault="00E4204A" w:rsidP="00E4204A">
      <w:pPr>
        <w:pStyle w:val="Listeafsnit"/>
        <w:numPr>
          <w:ilvl w:val="0"/>
          <w:numId w:val="23"/>
        </w:numPr>
        <w:spacing w:line="240" w:lineRule="auto"/>
        <w:ind w:left="284" w:hanging="284"/>
        <w:jc w:val="both"/>
        <w:rPr>
          <w:i/>
        </w:rPr>
      </w:pPr>
      <w:r w:rsidRPr="00B046DA">
        <w:rPr>
          <w:i/>
        </w:rPr>
        <w:t xml:space="preserve">balancen mellem </w:t>
      </w:r>
      <w:r w:rsidR="003B4BFC">
        <w:rPr>
          <w:i/>
        </w:rPr>
        <w:t xml:space="preserve">de </w:t>
      </w:r>
      <w:r w:rsidR="006F660A" w:rsidRPr="00B046DA">
        <w:rPr>
          <w:i/>
        </w:rPr>
        <w:t xml:space="preserve">substituerbare </w:t>
      </w:r>
      <w:r w:rsidRPr="00B046DA">
        <w:rPr>
          <w:i/>
        </w:rPr>
        <w:t>behandlingsformer</w:t>
      </w:r>
      <w:r w:rsidR="006F660A">
        <w:rPr>
          <w:i/>
        </w:rPr>
        <w:t xml:space="preserve"> </w:t>
      </w:r>
      <w:r w:rsidR="00757971" w:rsidRPr="006D263C">
        <w:rPr>
          <w:i/>
        </w:rPr>
        <w:t>fastholde</w:t>
      </w:r>
      <w:r w:rsidR="00757971">
        <w:rPr>
          <w:i/>
        </w:rPr>
        <w:t>s</w:t>
      </w:r>
    </w:p>
    <w:p w:rsidR="003733E8" w:rsidRDefault="008D1A76" w:rsidP="003733E8">
      <w:pPr>
        <w:pStyle w:val="Listeafsnit"/>
        <w:numPr>
          <w:ilvl w:val="0"/>
          <w:numId w:val="23"/>
        </w:numPr>
        <w:spacing w:line="240" w:lineRule="auto"/>
        <w:ind w:left="284" w:hanging="284"/>
        <w:jc w:val="both"/>
      </w:pPr>
      <w:r w:rsidRPr="00860508">
        <w:rPr>
          <w:i/>
        </w:rPr>
        <w:t>de</w:t>
      </w:r>
      <w:r w:rsidR="00725798" w:rsidRPr="00860508">
        <w:rPr>
          <w:i/>
        </w:rPr>
        <w:t xml:space="preserve"> byrdemæssige konsekvenser </w:t>
      </w:r>
      <w:r w:rsidR="00B0298D">
        <w:rPr>
          <w:i/>
        </w:rPr>
        <w:t>efter gennemslag i udligning skal være</w:t>
      </w:r>
      <w:r w:rsidR="0011669B" w:rsidRPr="00860508">
        <w:rPr>
          <w:i/>
        </w:rPr>
        <w:t xml:space="preserve"> </w:t>
      </w:r>
      <w:r w:rsidR="0055617A">
        <w:rPr>
          <w:i/>
        </w:rPr>
        <w:t>relativt begrænsede</w:t>
      </w:r>
      <w:r w:rsidR="006F660A" w:rsidRPr="00860508">
        <w:rPr>
          <w:i/>
        </w:rPr>
        <w:t xml:space="preserve"> </w:t>
      </w:r>
    </w:p>
    <w:p w:rsidR="00BC175A" w:rsidRDefault="00BC175A" w:rsidP="003733E8">
      <w:pPr>
        <w:pStyle w:val="Listeafsnit"/>
      </w:pPr>
    </w:p>
    <w:p w:rsidR="00725798" w:rsidRPr="00224F06" w:rsidRDefault="00725798" w:rsidP="00725798">
      <w:pPr>
        <w:pStyle w:val="Overskrift3"/>
        <w:spacing w:before="0"/>
        <w:rPr>
          <w:b w:val="0"/>
          <w:color w:val="365F91" w:themeColor="accent1" w:themeShade="BF"/>
        </w:rPr>
      </w:pPr>
      <w:bookmarkStart w:id="9" w:name="_Toc451358724"/>
      <w:r>
        <w:rPr>
          <w:b w:val="0"/>
          <w:color w:val="365F91" w:themeColor="accent1" w:themeShade="BF"/>
        </w:rPr>
        <w:t>3.2.2 En differentieret ordning – mulige modeller</w:t>
      </w:r>
      <w:bookmarkEnd w:id="9"/>
    </w:p>
    <w:p w:rsidR="002E7981" w:rsidRDefault="001A2D3B" w:rsidP="002E7981">
      <w:pPr>
        <w:spacing w:after="0"/>
        <w:jc w:val="both"/>
        <w:rPr>
          <w:rFonts w:ascii="Garamond" w:hAnsi="Garamond"/>
          <w:sz w:val="24"/>
          <w:szCs w:val="24"/>
        </w:rPr>
      </w:pPr>
      <w:r>
        <w:rPr>
          <w:rFonts w:ascii="Garamond" w:hAnsi="Garamond"/>
          <w:sz w:val="24"/>
          <w:szCs w:val="24"/>
        </w:rPr>
        <w:t>I evalueringen af den kommunale medfinansiering</w:t>
      </w:r>
      <w:r w:rsidR="00073EEF">
        <w:rPr>
          <w:rFonts w:ascii="Garamond" w:hAnsi="Garamond"/>
          <w:sz w:val="24"/>
          <w:szCs w:val="24"/>
        </w:rPr>
        <w:t xml:space="preserve"> </w:t>
      </w:r>
      <w:r w:rsidR="00224F06">
        <w:rPr>
          <w:rFonts w:ascii="Garamond" w:hAnsi="Garamond"/>
          <w:sz w:val="24"/>
          <w:szCs w:val="24"/>
        </w:rPr>
        <w:t>(2015)</w:t>
      </w:r>
      <w:r>
        <w:rPr>
          <w:rFonts w:ascii="Garamond" w:hAnsi="Garamond"/>
          <w:sz w:val="24"/>
          <w:szCs w:val="24"/>
        </w:rPr>
        <w:t xml:space="preserve"> </w:t>
      </w:r>
      <w:r w:rsidR="00082DE2">
        <w:rPr>
          <w:rFonts w:ascii="Garamond" w:hAnsi="Garamond"/>
          <w:sz w:val="24"/>
          <w:szCs w:val="24"/>
        </w:rPr>
        <w:t>beskrives</w:t>
      </w:r>
      <w:r>
        <w:rPr>
          <w:rFonts w:ascii="Garamond" w:hAnsi="Garamond"/>
          <w:sz w:val="24"/>
          <w:szCs w:val="24"/>
        </w:rPr>
        <w:t xml:space="preserve"> </w:t>
      </w:r>
      <w:r w:rsidR="00082DE2">
        <w:rPr>
          <w:rFonts w:ascii="Garamond" w:hAnsi="Garamond"/>
          <w:sz w:val="24"/>
          <w:szCs w:val="24"/>
        </w:rPr>
        <w:t>forskellige differentieringsmodeller</w:t>
      </w:r>
      <w:r>
        <w:rPr>
          <w:rFonts w:ascii="Garamond" w:hAnsi="Garamond"/>
          <w:sz w:val="24"/>
          <w:szCs w:val="24"/>
        </w:rPr>
        <w:t xml:space="preserve"> af ordningen målrettet afgrænsede grupper af borgere</w:t>
      </w:r>
      <w:r w:rsidR="002E7981">
        <w:rPr>
          <w:rFonts w:ascii="Garamond" w:hAnsi="Garamond"/>
          <w:sz w:val="24"/>
          <w:szCs w:val="24"/>
        </w:rPr>
        <w:t xml:space="preserve">. </w:t>
      </w:r>
    </w:p>
    <w:p w:rsidR="002E7981" w:rsidRDefault="002E7981" w:rsidP="002E7981">
      <w:pPr>
        <w:spacing w:after="0"/>
        <w:jc w:val="both"/>
        <w:rPr>
          <w:rFonts w:ascii="Garamond" w:hAnsi="Garamond"/>
          <w:sz w:val="24"/>
          <w:szCs w:val="24"/>
        </w:rPr>
      </w:pPr>
    </w:p>
    <w:p w:rsidR="007D739D" w:rsidRPr="0045317C" w:rsidRDefault="007D739D" w:rsidP="00C05B80">
      <w:pPr>
        <w:spacing w:after="0"/>
        <w:jc w:val="both"/>
        <w:rPr>
          <w:rFonts w:ascii="Garamond" w:hAnsi="Garamond"/>
          <w:i/>
          <w:sz w:val="24"/>
          <w:szCs w:val="24"/>
        </w:rPr>
      </w:pPr>
      <w:r w:rsidRPr="00F21D96">
        <w:rPr>
          <w:rFonts w:ascii="Garamond" w:hAnsi="Garamond"/>
          <w:i/>
          <w:sz w:val="24"/>
          <w:szCs w:val="24"/>
        </w:rPr>
        <w:t>Konkrete behandlinger</w:t>
      </w:r>
      <w:r w:rsidRPr="0045317C">
        <w:rPr>
          <w:rFonts w:ascii="Garamond" w:hAnsi="Garamond"/>
          <w:i/>
          <w:sz w:val="24"/>
          <w:szCs w:val="24"/>
        </w:rPr>
        <w:t>/diagnoser</w:t>
      </w:r>
    </w:p>
    <w:p w:rsidR="00C05B80" w:rsidRDefault="002E7981" w:rsidP="00C05B80">
      <w:pPr>
        <w:spacing w:after="0"/>
        <w:jc w:val="both"/>
        <w:rPr>
          <w:rFonts w:ascii="Garamond" w:hAnsi="Garamond"/>
          <w:sz w:val="24"/>
          <w:szCs w:val="24"/>
        </w:rPr>
      </w:pPr>
      <w:r w:rsidRPr="00C05B80">
        <w:rPr>
          <w:rFonts w:ascii="Garamond" w:hAnsi="Garamond"/>
          <w:sz w:val="24"/>
          <w:szCs w:val="24"/>
        </w:rPr>
        <w:t>Af evalueringen fremgår det</w:t>
      </w:r>
      <w:r w:rsidR="00224F06" w:rsidRPr="00C05B80">
        <w:rPr>
          <w:rFonts w:ascii="Garamond" w:hAnsi="Garamond"/>
          <w:sz w:val="24"/>
          <w:szCs w:val="24"/>
        </w:rPr>
        <w:t>, at en differentieret tilgang kan baseres på</w:t>
      </w:r>
      <w:r w:rsidR="00C05B80" w:rsidRPr="00C05B80">
        <w:rPr>
          <w:rFonts w:ascii="Garamond" w:hAnsi="Garamond"/>
          <w:i/>
          <w:sz w:val="24"/>
          <w:szCs w:val="24"/>
        </w:rPr>
        <w:t xml:space="preserve"> </w:t>
      </w:r>
      <w:r w:rsidR="00224F06" w:rsidRPr="00C05B80">
        <w:rPr>
          <w:rFonts w:ascii="Garamond" w:hAnsi="Garamond"/>
          <w:i/>
          <w:sz w:val="24"/>
          <w:szCs w:val="24"/>
        </w:rPr>
        <w:t xml:space="preserve">konkrete behandlinger </w:t>
      </w:r>
      <w:r w:rsidR="001F5E41">
        <w:rPr>
          <w:rFonts w:ascii="Garamond" w:hAnsi="Garamond"/>
          <w:i/>
          <w:sz w:val="24"/>
          <w:szCs w:val="24"/>
        </w:rPr>
        <w:t>/</w:t>
      </w:r>
      <w:r w:rsidR="00224F06" w:rsidRPr="00C05B80">
        <w:rPr>
          <w:rFonts w:ascii="Garamond" w:hAnsi="Garamond"/>
          <w:i/>
          <w:sz w:val="24"/>
          <w:szCs w:val="24"/>
        </w:rPr>
        <w:t>diagnos</w:t>
      </w:r>
      <w:r w:rsidR="00C05B80" w:rsidRPr="00C05B80">
        <w:rPr>
          <w:rFonts w:ascii="Garamond" w:hAnsi="Garamond"/>
          <w:i/>
          <w:sz w:val="24"/>
          <w:szCs w:val="24"/>
        </w:rPr>
        <w:t xml:space="preserve">er. </w:t>
      </w:r>
      <w:r w:rsidR="00224F06" w:rsidRPr="00C05B80">
        <w:rPr>
          <w:rFonts w:ascii="Garamond" w:hAnsi="Garamond"/>
          <w:sz w:val="24"/>
          <w:szCs w:val="24"/>
        </w:rPr>
        <w:t>Med argumentet om, at nogle diagnoser kan forebygges i kommunerne i højere grad, mens and</w:t>
      </w:r>
      <w:r w:rsidRPr="00C05B80">
        <w:rPr>
          <w:rFonts w:ascii="Garamond" w:hAnsi="Garamond"/>
          <w:sz w:val="24"/>
          <w:szCs w:val="24"/>
        </w:rPr>
        <w:t>re ikke entydigt kan forhindres</w:t>
      </w:r>
      <w:r w:rsidR="00224F06" w:rsidRPr="00C05B80">
        <w:rPr>
          <w:rFonts w:ascii="Garamond" w:hAnsi="Garamond"/>
          <w:sz w:val="24"/>
          <w:szCs w:val="24"/>
        </w:rPr>
        <w:t xml:space="preserve"> hverken på kort eller langt sigt. </w:t>
      </w:r>
    </w:p>
    <w:p w:rsidR="00C05B80" w:rsidRDefault="00C05B80" w:rsidP="00C05B80">
      <w:pPr>
        <w:spacing w:after="0"/>
        <w:jc w:val="both"/>
        <w:rPr>
          <w:rFonts w:ascii="Garamond" w:hAnsi="Garamond"/>
          <w:sz w:val="24"/>
          <w:szCs w:val="24"/>
        </w:rPr>
      </w:pPr>
    </w:p>
    <w:p w:rsidR="001E2E6A" w:rsidRDefault="00C70E7B" w:rsidP="0017212C">
      <w:pPr>
        <w:spacing w:after="0"/>
        <w:jc w:val="both"/>
        <w:rPr>
          <w:rFonts w:ascii="Garamond" w:hAnsi="Garamond"/>
          <w:sz w:val="24"/>
          <w:szCs w:val="24"/>
        </w:rPr>
      </w:pPr>
      <w:r>
        <w:rPr>
          <w:rFonts w:ascii="Garamond" w:hAnsi="Garamond"/>
          <w:sz w:val="24"/>
          <w:szCs w:val="24"/>
        </w:rPr>
        <w:t>På baggrund af principper</w:t>
      </w:r>
      <w:r w:rsidR="00FD6ABC">
        <w:rPr>
          <w:rFonts w:ascii="Garamond" w:hAnsi="Garamond"/>
          <w:sz w:val="24"/>
          <w:szCs w:val="24"/>
        </w:rPr>
        <w:t>ne</w:t>
      </w:r>
      <w:r>
        <w:rPr>
          <w:rFonts w:ascii="Garamond" w:hAnsi="Garamond"/>
          <w:sz w:val="24"/>
          <w:szCs w:val="24"/>
        </w:rPr>
        <w:t xml:space="preserve"> </w:t>
      </w:r>
      <w:r w:rsidR="00FD6ABC">
        <w:rPr>
          <w:rFonts w:ascii="Garamond" w:hAnsi="Garamond"/>
          <w:sz w:val="24"/>
          <w:szCs w:val="24"/>
        </w:rPr>
        <w:t xml:space="preserve">ovenfor </w:t>
      </w:r>
      <w:r>
        <w:rPr>
          <w:rFonts w:ascii="Garamond" w:hAnsi="Garamond"/>
          <w:sz w:val="24"/>
          <w:szCs w:val="24"/>
        </w:rPr>
        <w:t>vurderes d</w:t>
      </w:r>
      <w:r w:rsidR="00C05B80">
        <w:rPr>
          <w:rFonts w:ascii="Garamond" w:hAnsi="Garamond"/>
          <w:sz w:val="24"/>
          <w:szCs w:val="24"/>
        </w:rPr>
        <w:t>et, at e</w:t>
      </w:r>
      <w:r w:rsidR="00224F06">
        <w:rPr>
          <w:rFonts w:ascii="Garamond" w:hAnsi="Garamond"/>
          <w:sz w:val="24"/>
          <w:szCs w:val="24"/>
        </w:rPr>
        <w:t>n differentieret tilgang ift. konkrete behandlinger</w:t>
      </w:r>
      <w:r w:rsidR="001F5E41">
        <w:rPr>
          <w:rFonts w:ascii="Garamond" w:hAnsi="Garamond"/>
          <w:sz w:val="24"/>
          <w:szCs w:val="24"/>
        </w:rPr>
        <w:t>/diagnoser</w:t>
      </w:r>
      <w:r w:rsidR="00224F06">
        <w:rPr>
          <w:rFonts w:ascii="Garamond" w:hAnsi="Garamond"/>
          <w:sz w:val="24"/>
          <w:szCs w:val="24"/>
        </w:rPr>
        <w:t xml:space="preserve"> </w:t>
      </w:r>
      <w:r w:rsidR="004F687A">
        <w:rPr>
          <w:rFonts w:ascii="Garamond" w:hAnsi="Garamond"/>
          <w:sz w:val="24"/>
          <w:szCs w:val="24"/>
        </w:rPr>
        <w:t>ikke</w:t>
      </w:r>
      <w:r w:rsidR="00224F06" w:rsidRPr="00224F06">
        <w:rPr>
          <w:rFonts w:ascii="Garamond" w:hAnsi="Garamond"/>
          <w:sz w:val="24"/>
          <w:szCs w:val="24"/>
        </w:rPr>
        <w:t xml:space="preserve"> </w:t>
      </w:r>
      <w:r w:rsidR="00073EEF">
        <w:rPr>
          <w:rFonts w:ascii="Garamond" w:hAnsi="Garamond"/>
          <w:sz w:val="24"/>
          <w:szCs w:val="24"/>
        </w:rPr>
        <w:t>umiddelbart</w:t>
      </w:r>
      <w:r w:rsidR="00073EEF" w:rsidRPr="00224F06">
        <w:rPr>
          <w:rFonts w:ascii="Garamond" w:hAnsi="Garamond"/>
          <w:sz w:val="24"/>
          <w:szCs w:val="24"/>
        </w:rPr>
        <w:t xml:space="preserve"> </w:t>
      </w:r>
      <w:r w:rsidR="002739BB">
        <w:rPr>
          <w:rFonts w:ascii="Garamond" w:hAnsi="Garamond"/>
          <w:sz w:val="24"/>
          <w:szCs w:val="24"/>
        </w:rPr>
        <w:t>er hensigtsmæssig</w:t>
      </w:r>
      <w:r w:rsidR="001E2E6A">
        <w:rPr>
          <w:rFonts w:ascii="Garamond" w:hAnsi="Garamond"/>
          <w:sz w:val="24"/>
          <w:szCs w:val="24"/>
        </w:rPr>
        <w:t>.</w:t>
      </w:r>
      <w:r w:rsidR="0017212C">
        <w:rPr>
          <w:rFonts w:ascii="Garamond" w:hAnsi="Garamond"/>
          <w:sz w:val="24"/>
          <w:szCs w:val="24"/>
        </w:rPr>
        <w:t xml:space="preserve"> </w:t>
      </w:r>
      <w:r w:rsidR="001F5E41">
        <w:rPr>
          <w:rFonts w:ascii="Garamond" w:hAnsi="Garamond"/>
          <w:sz w:val="24"/>
          <w:szCs w:val="24"/>
        </w:rPr>
        <w:t>Differentieringen vil</w:t>
      </w:r>
      <w:r w:rsidR="00224F06" w:rsidRPr="002739BB">
        <w:rPr>
          <w:rFonts w:ascii="Garamond" w:hAnsi="Garamond"/>
          <w:sz w:val="24"/>
          <w:szCs w:val="24"/>
        </w:rPr>
        <w:t xml:space="preserve"> blive en tilnærmelse på et overordnet niveau</w:t>
      </w:r>
      <w:r w:rsidR="00C05B80" w:rsidRPr="002739BB">
        <w:rPr>
          <w:rFonts w:ascii="Garamond" w:hAnsi="Garamond"/>
          <w:sz w:val="24"/>
          <w:szCs w:val="24"/>
        </w:rPr>
        <w:t xml:space="preserve"> baseret på subjektive vurderinger</w:t>
      </w:r>
      <w:r w:rsidR="00224F06" w:rsidRPr="002739BB">
        <w:rPr>
          <w:rFonts w:ascii="Garamond" w:hAnsi="Garamond"/>
          <w:sz w:val="24"/>
          <w:szCs w:val="24"/>
        </w:rPr>
        <w:t>. Det vil både være tidskrævende</w:t>
      </w:r>
      <w:r w:rsidR="009C00D1" w:rsidRPr="002739BB">
        <w:rPr>
          <w:rFonts w:ascii="Garamond" w:hAnsi="Garamond"/>
          <w:sz w:val="24"/>
          <w:szCs w:val="24"/>
        </w:rPr>
        <w:t>,</w:t>
      </w:r>
      <w:r w:rsidR="0093755C">
        <w:rPr>
          <w:rFonts w:ascii="Garamond" w:hAnsi="Garamond"/>
          <w:sz w:val="24"/>
          <w:szCs w:val="24"/>
        </w:rPr>
        <w:t xml:space="preserve"> usikkert,</w:t>
      </w:r>
      <w:r w:rsidR="009C00D1" w:rsidRPr="002739BB">
        <w:rPr>
          <w:rFonts w:ascii="Garamond" w:hAnsi="Garamond"/>
          <w:sz w:val="24"/>
          <w:szCs w:val="24"/>
        </w:rPr>
        <w:t xml:space="preserve"> administrationstungt</w:t>
      </w:r>
      <w:r w:rsidR="00224F06" w:rsidRPr="002739BB">
        <w:rPr>
          <w:rFonts w:ascii="Garamond" w:hAnsi="Garamond"/>
          <w:sz w:val="24"/>
          <w:szCs w:val="24"/>
        </w:rPr>
        <w:t xml:space="preserve"> og vanskeligt at afgrænse og definere de behandlinger, hvor kommunen reelt har/ikke har en påvirkningsmulighed</w:t>
      </w:r>
      <w:r w:rsidR="009C00D1" w:rsidRPr="002739BB">
        <w:rPr>
          <w:rFonts w:ascii="Garamond" w:hAnsi="Garamond"/>
          <w:sz w:val="24"/>
          <w:szCs w:val="24"/>
        </w:rPr>
        <w:t xml:space="preserve">. </w:t>
      </w:r>
      <w:r w:rsidR="001E2E6A">
        <w:rPr>
          <w:rFonts w:ascii="Garamond" w:hAnsi="Garamond"/>
          <w:sz w:val="24"/>
          <w:szCs w:val="24"/>
        </w:rPr>
        <w:t>E</w:t>
      </w:r>
      <w:r w:rsidR="00224F06" w:rsidRPr="002739BB">
        <w:rPr>
          <w:rFonts w:ascii="Garamond" w:hAnsi="Garamond"/>
          <w:sz w:val="24"/>
          <w:szCs w:val="24"/>
        </w:rPr>
        <w:t xml:space="preserve">n udsondring af behandlinger, hvor der </w:t>
      </w:r>
      <w:r w:rsidR="009C00D1" w:rsidRPr="002739BB">
        <w:rPr>
          <w:rFonts w:ascii="Garamond" w:hAnsi="Garamond"/>
          <w:sz w:val="24"/>
          <w:szCs w:val="24"/>
        </w:rPr>
        <w:t>ingen</w:t>
      </w:r>
      <w:r w:rsidR="00224F06" w:rsidRPr="002739BB">
        <w:rPr>
          <w:rFonts w:ascii="Garamond" w:hAnsi="Garamond"/>
          <w:sz w:val="24"/>
          <w:szCs w:val="24"/>
        </w:rPr>
        <w:t xml:space="preserve"> kommunal påvirkning er alt andet lige relativt begrænse</w:t>
      </w:r>
      <w:r w:rsidR="00615D48">
        <w:rPr>
          <w:rFonts w:ascii="Garamond" w:hAnsi="Garamond"/>
          <w:sz w:val="24"/>
          <w:szCs w:val="24"/>
        </w:rPr>
        <w:t>t</w:t>
      </w:r>
      <w:r w:rsidR="00224F06" w:rsidRPr="002739BB">
        <w:rPr>
          <w:rFonts w:ascii="Garamond" w:hAnsi="Garamond"/>
          <w:sz w:val="24"/>
          <w:szCs w:val="24"/>
        </w:rPr>
        <w:t xml:space="preserve">. </w:t>
      </w:r>
      <w:r w:rsidR="009C00D1" w:rsidRPr="002739BB">
        <w:rPr>
          <w:rFonts w:ascii="Garamond" w:hAnsi="Garamond"/>
          <w:sz w:val="24"/>
          <w:szCs w:val="24"/>
        </w:rPr>
        <w:t>Et eksempel herpå er fødsler</w:t>
      </w:r>
      <w:r w:rsidR="007D739D">
        <w:rPr>
          <w:rFonts w:ascii="Garamond" w:hAnsi="Garamond"/>
          <w:sz w:val="24"/>
          <w:szCs w:val="24"/>
        </w:rPr>
        <w:t xml:space="preserve"> og kræftområdet</w:t>
      </w:r>
      <w:r w:rsidR="009C00D1" w:rsidRPr="002739BB">
        <w:rPr>
          <w:rFonts w:ascii="Garamond" w:hAnsi="Garamond"/>
          <w:sz w:val="24"/>
          <w:szCs w:val="24"/>
        </w:rPr>
        <w:t xml:space="preserve">, </w:t>
      </w:r>
      <w:r w:rsidR="009C00D1" w:rsidRPr="002739BB">
        <w:rPr>
          <w:rFonts w:ascii="Garamond" w:hAnsi="Garamond"/>
          <w:i/>
          <w:sz w:val="24"/>
          <w:szCs w:val="24"/>
        </w:rPr>
        <w:t>jf. boks 3.</w:t>
      </w:r>
      <w:r w:rsidR="00C85423">
        <w:rPr>
          <w:rFonts w:ascii="Garamond" w:hAnsi="Garamond"/>
          <w:i/>
          <w:sz w:val="24"/>
          <w:szCs w:val="24"/>
        </w:rPr>
        <w:t>2</w:t>
      </w:r>
      <w:r w:rsidR="009C00D1" w:rsidRPr="002739BB">
        <w:rPr>
          <w:rFonts w:ascii="Garamond" w:hAnsi="Garamond"/>
          <w:i/>
          <w:sz w:val="24"/>
          <w:szCs w:val="24"/>
        </w:rPr>
        <w:t>.</w:t>
      </w:r>
      <w:r w:rsidR="001E2E6A">
        <w:rPr>
          <w:rFonts w:ascii="Garamond" w:hAnsi="Garamond"/>
          <w:i/>
          <w:sz w:val="24"/>
          <w:szCs w:val="24"/>
        </w:rPr>
        <w:t xml:space="preserve"> </w:t>
      </w:r>
      <w:r w:rsidR="001E2E6A" w:rsidRPr="001E2E6A">
        <w:rPr>
          <w:rFonts w:ascii="Garamond" w:hAnsi="Garamond"/>
          <w:sz w:val="24"/>
          <w:szCs w:val="24"/>
        </w:rPr>
        <w:t xml:space="preserve">Yderligere </w:t>
      </w:r>
      <w:r w:rsidR="001E2E6A">
        <w:rPr>
          <w:rFonts w:ascii="Garamond" w:hAnsi="Garamond"/>
          <w:sz w:val="24"/>
          <w:szCs w:val="24"/>
        </w:rPr>
        <w:t>vil</w:t>
      </w:r>
      <w:r w:rsidR="001E2E6A" w:rsidRPr="001E2E6A">
        <w:rPr>
          <w:rFonts w:ascii="Garamond" w:hAnsi="Garamond"/>
          <w:sz w:val="24"/>
          <w:szCs w:val="24"/>
        </w:rPr>
        <w:t xml:space="preserve"> en differentieret</w:t>
      </w:r>
      <w:r w:rsidR="001E2E6A" w:rsidRPr="00224F06">
        <w:rPr>
          <w:rFonts w:ascii="Garamond" w:hAnsi="Garamond"/>
          <w:sz w:val="24"/>
          <w:szCs w:val="24"/>
        </w:rPr>
        <w:t xml:space="preserve"> medfinansiering med fx forskellige medfinansieringssatser for tæt-substituerbare </w:t>
      </w:r>
      <w:r w:rsidR="001E2E6A">
        <w:rPr>
          <w:rFonts w:ascii="Garamond" w:hAnsi="Garamond"/>
          <w:sz w:val="24"/>
          <w:szCs w:val="24"/>
        </w:rPr>
        <w:t>diagnoser</w:t>
      </w:r>
      <w:r w:rsidR="001E2E6A" w:rsidRPr="00224F06">
        <w:rPr>
          <w:rFonts w:ascii="Garamond" w:hAnsi="Garamond"/>
          <w:sz w:val="24"/>
          <w:szCs w:val="24"/>
        </w:rPr>
        <w:t xml:space="preserve"> alt andet lige være problematisk. </w:t>
      </w:r>
    </w:p>
    <w:p w:rsidR="00725798" w:rsidRDefault="00725798" w:rsidP="0017212C">
      <w:pPr>
        <w:spacing w:after="0"/>
        <w:jc w:val="both"/>
        <w:rPr>
          <w:rFonts w:ascii="Garamond" w:hAnsi="Garamond"/>
          <w:sz w:val="24"/>
          <w:szCs w:val="24"/>
        </w:rPr>
      </w:pPr>
    </w:p>
    <w:tbl>
      <w:tblPr>
        <w:tblStyle w:val="Tabel-Gitter"/>
        <w:tblW w:w="7513"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513"/>
      </w:tblGrid>
      <w:tr w:rsidR="009C00D1" w:rsidRPr="0017212C" w:rsidTr="002739BB">
        <w:tc>
          <w:tcPr>
            <w:tcW w:w="7513" w:type="dxa"/>
            <w:tcBorders>
              <w:top w:val="single" w:sz="12" w:space="0" w:color="auto"/>
              <w:left w:val="nil"/>
              <w:bottom w:val="nil"/>
              <w:right w:val="nil"/>
            </w:tcBorders>
            <w:shd w:val="clear" w:color="auto" w:fill="E9EFEC"/>
            <w:hideMark/>
          </w:tcPr>
          <w:p w:rsidR="009C00D1" w:rsidRPr="00DF03B4" w:rsidRDefault="009C00D1" w:rsidP="009C00D1">
            <w:pPr>
              <w:spacing w:line="240" w:lineRule="auto"/>
              <w:rPr>
                <w:rFonts w:asciiTheme="minorHAnsi" w:hAnsiTheme="minorHAnsi"/>
                <w:b/>
                <w:color w:val="000000"/>
                <w:sz w:val="16"/>
                <w:szCs w:val="16"/>
              </w:rPr>
            </w:pPr>
            <w:r w:rsidRPr="0093755C">
              <w:rPr>
                <w:rFonts w:asciiTheme="minorHAnsi" w:hAnsiTheme="minorHAnsi"/>
                <w:b/>
                <w:sz w:val="16"/>
                <w:szCs w:val="16"/>
              </w:rPr>
              <w:t>Bok</w:t>
            </w:r>
            <w:r w:rsidRPr="00DF03B4">
              <w:rPr>
                <w:rFonts w:asciiTheme="minorHAnsi" w:hAnsiTheme="minorHAnsi"/>
                <w:b/>
                <w:sz w:val="16"/>
                <w:szCs w:val="16"/>
              </w:rPr>
              <w:t>s 3.</w:t>
            </w:r>
            <w:r w:rsidR="00C85423">
              <w:rPr>
                <w:rFonts w:asciiTheme="minorHAnsi" w:hAnsiTheme="minorHAnsi"/>
                <w:b/>
                <w:sz w:val="16"/>
                <w:szCs w:val="16"/>
              </w:rPr>
              <w:t>2</w:t>
            </w:r>
            <w:r w:rsidRPr="00DF03B4">
              <w:rPr>
                <w:rFonts w:asciiTheme="minorHAnsi" w:hAnsiTheme="minorHAnsi"/>
                <w:b/>
                <w:sz w:val="16"/>
                <w:szCs w:val="16"/>
              </w:rPr>
              <w:br/>
              <w:t xml:space="preserve">Fødsler </w:t>
            </w:r>
            <w:r w:rsidR="007D739D">
              <w:rPr>
                <w:rFonts w:asciiTheme="minorHAnsi" w:hAnsiTheme="minorHAnsi"/>
                <w:b/>
                <w:sz w:val="16"/>
                <w:szCs w:val="16"/>
              </w:rPr>
              <w:t>og kræftområdet</w:t>
            </w:r>
            <w:r w:rsidRPr="00DF03B4">
              <w:rPr>
                <w:rFonts w:asciiTheme="minorHAnsi" w:hAnsiTheme="minorHAnsi"/>
                <w:b/>
                <w:sz w:val="16"/>
                <w:szCs w:val="16"/>
              </w:rPr>
              <w:t>– kommunernes påvirkningsmulighed</w:t>
            </w:r>
          </w:p>
        </w:tc>
      </w:tr>
      <w:tr w:rsidR="009C00D1" w:rsidRPr="0017212C" w:rsidTr="002739BB">
        <w:tblPrEx>
          <w:tblCellMar>
            <w:left w:w="70" w:type="dxa"/>
            <w:right w:w="70" w:type="dxa"/>
          </w:tblCellMar>
        </w:tblPrEx>
        <w:tc>
          <w:tcPr>
            <w:tcW w:w="7513" w:type="dxa"/>
            <w:tcBorders>
              <w:top w:val="nil"/>
              <w:left w:val="nil"/>
              <w:bottom w:val="nil"/>
              <w:right w:val="single" w:sz="4" w:space="0" w:color="auto"/>
            </w:tcBorders>
            <w:shd w:val="clear" w:color="auto" w:fill="E9EFEC"/>
            <w:hideMark/>
          </w:tcPr>
          <w:p w:rsidR="009C00D1" w:rsidRPr="0093755C" w:rsidRDefault="009C00D1" w:rsidP="00483EBC">
            <w:pPr>
              <w:spacing w:line="240" w:lineRule="auto"/>
              <w:jc w:val="both"/>
              <w:rPr>
                <w:rFonts w:asciiTheme="minorHAnsi" w:hAnsiTheme="minorHAnsi"/>
                <w:sz w:val="16"/>
                <w:szCs w:val="16"/>
              </w:rPr>
            </w:pPr>
          </w:p>
        </w:tc>
      </w:tr>
      <w:tr w:rsidR="009C00D1" w:rsidRPr="009C00D1" w:rsidTr="002739BB">
        <w:tc>
          <w:tcPr>
            <w:tcW w:w="7513" w:type="dxa"/>
            <w:tcBorders>
              <w:top w:val="nil"/>
              <w:left w:val="nil"/>
              <w:bottom w:val="single" w:sz="12" w:space="0" w:color="auto"/>
              <w:right w:val="nil"/>
            </w:tcBorders>
            <w:shd w:val="clear" w:color="auto" w:fill="E9EFEC"/>
            <w:vAlign w:val="center"/>
          </w:tcPr>
          <w:p w:rsidR="009C00D1" w:rsidRPr="0093755C" w:rsidRDefault="009C00D1" w:rsidP="00483EBC">
            <w:pPr>
              <w:pStyle w:val="Listeafsnit"/>
              <w:spacing w:line="276" w:lineRule="auto"/>
              <w:ind w:left="0"/>
              <w:jc w:val="both"/>
              <w:rPr>
                <w:rFonts w:asciiTheme="minorHAnsi" w:hAnsiTheme="minorHAnsi"/>
                <w:sz w:val="16"/>
                <w:szCs w:val="16"/>
              </w:rPr>
            </w:pPr>
          </w:p>
          <w:p w:rsidR="009C00D1" w:rsidRPr="00DF03B4" w:rsidRDefault="009C00D1" w:rsidP="00483EBC">
            <w:pPr>
              <w:spacing w:line="240" w:lineRule="auto"/>
              <w:jc w:val="both"/>
              <w:rPr>
                <w:rFonts w:asciiTheme="minorHAnsi" w:hAnsiTheme="minorHAnsi"/>
                <w:sz w:val="16"/>
                <w:szCs w:val="16"/>
              </w:rPr>
            </w:pPr>
            <w:r w:rsidRPr="00DF03B4">
              <w:rPr>
                <w:rFonts w:asciiTheme="minorHAnsi" w:hAnsiTheme="minorHAnsi"/>
                <w:sz w:val="16"/>
                <w:szCs w:val="16"/>
              </w:rPr>
              <w:t>Kommunerne skal ikke forebygge fødsler, men deres indsats har alligevel indflydelse på den konkrete belastning af det regionale sundhedsvæsen. Forhold som fx høj forekomst af overvægt, rygning mv. blandt gravide kan føre til flere og mere komplicerede og dermed mere udgiftskrævende fødsler.</w:t>
            </w:r>
          </w:p>
          <w:p w:rsidR="0093755C" w:rsidRPr="00DF03B4" w:rsidRDefault="0093755C" w:rsidP="00483EBC">
            <w:pPr>
              <w:spacing w:line="240" w:lineRule="auto"/>
              <w:jc w:val="both"/>
              <w:rPr>
                <w:rFonts w:asciiTheme="minorHAnsi" w:hAnsiTheme="minorHAnsi"/>
                <w:sz w:val="16"/>
                <w:szCs w:val="16"/>
              </w:rPr>
            </w:pPr>
          </w:p>
          <w:p w:rsidR="0093755C" w:rsidRPr="0017212C" w:rsidRDefault="0093755C" w:rsidP="00C85423">
            <w:pPr>
              <w:spacing w:line="240" w:lineRule="auto"/>
              <w:jc w:val="both"/>
              <w:rPr>
                <w:rFonts w:asciiTheme="minorHAnsi" w:hAnsiTheme="minorHAnsi"/>
                <w:sz w:val="16"/>
                <w:szCs w:val="16"/>
              </w:rPr>
            </w:pPr>
            <w:r w:rsidRPr="00D75A0D">
              <w:rPr>
                <w:rFonts w:asciiTheme="minorHAnsi" w:hAnsiTheme="minorHAnsi"/>
                <w:sz w:val="16"/>
                <w:szCs w:val="16"/>
              </w:rPr>
              <w:t>Tilsvarende gælder på kræftområdet, hvor kommunerne ikke umi</w:t>
            </w:r>
            <w:r w:rsidRPr="0017212C">
              <w:rPr>
                <w:rFonts w:asciiTheme="minorHAnsi" w:hAnsiTheme="minorHAnsi"/>
                <w:sz w:val="16"/>
                <w:szCs w:val="16"/>
              </w:rPr>
              <w:t>ddelbart har en opgave i det konkrete tilfælde</w:t>
            </w:r>
            <w:r w:rsidR="00C85423">
              <w:rPr>
                <w:rFonts w:asciiTheme="minorHAnsi" w:hAnsiTheme="minorHAnsi"/>
                <w:sz w:val="16"/>
                <w:szCs w:val="16"/>
              </w:rPr>
              <w:t>,</w:t>
            </w:r>
            <w:r w:rsidRPr="0017212C">
              <w:rPr>
                <w:rFonts w:asciiTheme="minorHAnsi" w:hAnsiTheme="minorHAnsi"/>
                <w:sz w:val="16"/>
                <w:szCs w:val="16"/>
              </w:rPr>
              <w:t xml:space="preserve"> hvor en patient har behov for regional</w:t>
            </w:r>
            <w:r w:rsidR="00C85423">
              <w:rPr>
                <w:rFonts w:asciiTheme="minorHAnsi" w:hAnsiTheme="minorHAnsi"/>
                <w:sz w:val="16"/>
                <w:szCs w:val="16"/>
              </w:rPr>
              <w:t>t</w:t>
            </w:r>
            <w:r w:rsidRPr="0017212C">
              <w:rPr>
                <w:rFonts w:asciiTheme="minorHAnsi" w:hAnsiTheme="minorHAnsi"/>
                <w:sz w:val="16"/>
                <w:szCs w:val="16"/>
              </w:rPr>
              <w:t xml:space="preserve"> specialisere</w:t>
            </w:r>
            <w:r w:rsidR="00C85423">
              <w:rPr>
                <w:rFonts w:asciiTheme="minorHAnsi" w:hAnsiTheme="minorHAnsi"/>
                <w:sz w:val="16"/>
                <w:szCs w:val="16"/>
              </w:rPr>
              <w:t>t</w:t>
            </w:r>
            <w:r w:rsidRPr="0017212C">
              <w:rPr>
                <w:rFonts w:asciiTheme="minorHAnsi" w:hAnsiTheme="minorHAnsi"/>
                <w:sz w:val="16"/>
                <w:szCs w:val="16"/>
              </w:rPr>
              <w:t xml:space="preserve"> tilbud. Men livsstilsrelaterede forhold har også betydning for, hvilken regional behandlingsindsats der er behov for, og dermed hvilket udgiftstræk, der er for det enkelte behandlingsforløb. Kommunale fokus på livsstilrelaterede forhold har således et vist gennemslag på det samlede regionale ressourcetræk, der er forbundet med kræftbehandlingsforløbet. Ligeledes har den kommunale opfølgende rehabiliterende indsats stor betydning for den kræftramte</w:t>
            </w:r>
            <w:r w:rsidR="00C85423">
              <w:rPr>
                <w:rFonts w:asciiTheme="minorHAnsi" w:hAnsiTheme="minorHAnsi"/>
                <w:sz w:val="16"/>
                <w:szCs w:val="16"/>
              </w:rPr>
              <w:t xml:space="preserve">; </w:t>
            </w:r>
            <w:r w:rsidR="00C85423" w:rsidRPr="00C85423">
              <w:rPr>
                <w:rFonts w:asciiTheme="minorHAnsi" w:hAnsiTheme="minorHAnsi"/>
                <w:i/>
                <w:sz w:val="16"/>
                <w:szCs w:val="16"/>
              </w:rPr>
              <w:t>jf. Evalueringen af den kommunale medfinansiering (2015)</w:t>
            </w:r>
            <w:r w:rsidRPr="00C85423">
              <w:rPr>
                <w:rFonts w:asciiTheme="minorHAnsi" w:hAnsiTheme="minorHAnsi"/>
                <w:i/>
                <w:sz w:val="16"/>
                <w:szCs w:val="16"/>
              </w:rPr>
              <w:t>.</w:t>
            </w:r>
            <w:r w:rsidRPr="0017212C">
              <w:rPr>
                <w:rFonts w:asciiTheme="minorHAnsi" w:hAnsiTheme="minorHAnsi"/>
                <w:sz w:val="16"/>
                <w:szCs w:val="16"/>
              </w:rPr>
              <w:t xml:space="preserve"> </w:t>
            </w:r>
          </w:p>
        </w:tc>
      </w:tr>
    </w:tbl>
    <w:p w:rsidR="009C00D1" w:rsidRDefault="009C00D1" w:rsidP="009C00D1">
      <w:pPr>
        <w:pStyle w:val="Listeafsnit"/>
        <w:spacing w:line="276" w:lineRule="auto"/>
        <w:jc w:val="both"/>
      </w:pPr>
    </w:p>
    <w:p w:rsidR="007D739D" w:rsidRPr="00351954" w:rsidRDefault="007D739D" w:rsidP="002739BB">
      <w:pPr>
        <w:spacing w:after="0"/>
        <w:jc w:val="both"/>
        <w:rPr>
          <w:rFonts w:ascii="Garamond" w:hAnsi="Garamond"/>
          <w:i/>
          <w:sz w:val="24"/>
          <w:szCs w:val="24"/>
        </w:rPr>
      </w:pPr>
      <w:r w:rsidRPr="00351954">
        <w:rPr>
          <w:rFonts w:ascii="Garamond" w:hAnsi="Garamond"/>
          <w:i/>
          <w:sz w:val="24"/>
          <w:szCs w:val="24"/>
        </w:rPr>
        <w:t>Ældre patienter</w:t>
      </w:r>
    </w:p>
    <w:p w:rsidR="002739BB" w:rsidRDefault="002739BB" w:rsidP="002739BB">
      <w:pPr>
        <w:spacing w:after="0"/>
        <w:jc w:val="both"/>
        <w:rPr>
          <w:rFonts w:ascii="Garamond" w:hAnsi="Garamond"/>
          <w:sz w:val="24"/>
          <w:szCs w:val="24"/>
        </w:rPr>
      </w:pPr>
      <w:r>
        <w:rPr>
          <w:rFonts w:ascii="Garamond" w:hAnsi="Garamond"/>
          <w:sz w:val="24"/>
          <w:szCs w:val="24"/>
        </w:rPr>
        <w:t>Det fremgår yderligere af evalueringen</w:t>
      </w:r>
      <w:r w:rsidRPr="00C05B80">
        <w:rPr>
          <w:rFonts w:ascii="Garamond" w:hAnsi="Garamond"/>
          <w:sz w:val="24"/>
          <w:szCs w:val="24"/>
        </w:rPr>
        <w:t>, at en differentieret tilgang kan baseres på</w:t>
      </w:r>
      <w:r w:rsidRPr="00C05B80">
        <w:rPr>
          <w:rFonts w:ascii="Garamond" w:hAnsi="Garamond"/>
          <w:i/>
          <w:sz w:val="24"/>
          <w:szCs w:val="24"/>
        </w:rPr>
        <w:t xml:space="preserve"> ældre patienter (alder eller ældre medicinske patienter)</w:t>
      </w:r>
      <w:r w:rsidRPr="00C05B80">
        <w:rPr>
          <w:rFonts w:ascii="Garamond" w:hAnsi="Garamond"/>
          <w:sz w:val="24"/>
          <w:szCs w:val="24"/>
        </w:rPr>
        <w:t xml:space="preserve">. </w:t>
      </w:r>
      <w:r w:rsidR="00A443C8">
        <w:rPr>
          <w:rFonts w:ascii="Garamond" w:hAnsi="Garamond"/>
          <w:sz w:val="24"/>
          <w:szCs w:val="24"/>
        </w:rPr>
        <w:t xml:space="preserve">Med argumentet om, at </w:t>
      </w:r>
      <w:r w:rsidR="00A443C8" w:rsidRPr="00C05B80">
        <w:rPr>
          <w:rFonts w:ascii="Garamond" w:hAnsi="Garamond"/>
          <w:sz w:val="24"/>
          <w:szCs w:val="24"/>
        </w:rPr>
        <w:t xml:space="preserve">kommunerne </w:t>
      </w:r>
      <w:r w:rsidR="003B4BFC">
        <w:rPr>
          <w:rFonts w:ascii="Garamond" w:hAnsi="Garamond"/>
          <w:sz w:val="24"/>
          <w:szCs w:val="24"/>
        </w:rPr>
        <w:t>særligt ift.</w:t>
      </w:r>
      <w:r w:rsidR="00A443C8" w:rsidRPr="00C05B80">
        <w:rPr>
          <w:rFonts w:ascii="Garamond" w:hAnsi="Garamond"/>
          <w:sz w:val="24"/>
          <w:szCs w:val="24"/>
        </w:rPr>
        <w:t xml:space="preserve"> </w:t>
      </w:r>
      <w:r w:rsidR="003B4BFC" w:rsidRPr="00C05B80">
        <w:rPr>
          <w:rFonts w:ascii="Garamond" w:hAnsi="Garamond"/>
          <w:sz w:val="24"/>
          <w:szCs w:val="24"/>
        </w:rPr>
        <w:t xml:space="preserve">de ældre borgere </w:t>
      </w:r>
      <w:r w:rsidR="00A443C8" w:rsidRPr="00C05B80">
        <w:rPr>
          <w:rFonts w:ascii="Garamond" w:hAnsi="Garamond"/>
          <w:sz w:val="24"/>
          <w:szCs w:val="24"/>
        </w:rPr>
        <w:t>har en tæt og daglig kontakt via plejeindsatsen</w:t>
      </w:r>
      <w:r w:rsidR="00FD6ABC">
        <w:rPr>
          <w:rFonts w:ascii="Garamond" w:hAnsi="Garamond"/>
          <w:sz w:val="24"/>
          <w:szCs w:val="24"/>
        </w:rPr>
        <w:t>,</w:t>
      </w:r>
      <w:r w:rsidR="003B4BFC">
        <w:rPr>
          <w:rFonts w:ascii="Garamond" w:hAnsi="Garamond"/>
          <w:sz w:val="24"/>
          <w:szCs w:val="24"/>
        </w:rPr>
        <w:t xml:space="preserve"> og at kommunerne derigennem har bedre muligheder for at forebygge bl.a. </w:t>
      </w:r>
      <w:r w:rsidRPr="00C05B80">
        <w:rPr>
          <w:rFonts w:ascii="Garamond" w:hAnsi="Garamond"/>
          <w:sz w:val="24"/>
          <w:szCs w:val="24"/>
        </w:rPr>
        <w:t>unødig</w:t>
      </w:r>
      <w:r>
        <w:rPr>
          <w:rFonts w:ascii="Garamond" w:hAnsi="Garamond"/>
          <w:sz w:val="24"/>
          <w:szCs w:val="24"/>
        </w:rPr>
        <w:t>e</w:t>
      </w:r>
      <w:r w:rsidRPr="00C05B80">
        <w:rPr>
          <w:rFonts w:ascii="Garamond" w:hAnsi="Garamond"/>
          <w:sz w:val="24"/>
          <w:szCs w:val="24"/>
        </w:rPr>
        <w:t xml:space="preserve"> </w:t>
      </w:r>
      <w:r w:rsidR="003B4BFC">
        <w:rPr>
          <w:rFonts w:ascii="Garamond" w:hAnsi="Garamond"/>
          <w:sz w:val="24"/>
          <w:szCs w:val="24"/>
        </w:rPr>
        <w:t>indlæggelser mv. ift. denne gruppe</w:t>
      </w:r>
      <w:r w:rsidRPr="00C05B80">
        <w:rPr>
          <w:rFonts w:ascii="Garamond" w:hAnsi="Garamond"/>
          <w:sz w:val="24"/>
          <w:szCs w:val="24"/>
        </w:rPr>
        <w:t xml:space="preserve">. </w:t>
      </w:r>
    </w:p>
    <w:p w:rsidR="00A443C8" w:rsidRPr="00C05B80" w:rsidRDefault="00A443C8" w:rsidP="002739BB">
      <w:pPr>
        <w:spacing w:after="0"/>
        <w:jc w:val="both"/>
        <w:rPr>
          <w:rFonts w:ascii="Garamond" w:hAnsi="Garamond"/>
          <w:sz w:val="24"/>
          <w:szCs w:val="24"/>
        </w:rPr>
      </w:pPr>
    </w:p>
    <w:p w:rsidR="00224F06" w:rsidRPr="00351954" w:rsidRDefault="008D1A76" w:rsidP="0026234E">
      <w:pPr>
        <w:spacing w:after="240"/>
        <w:jc w:val="both"/>
        <w:rPr>
          <w:rFonts w:ascii="Garamond" w:hAnsi="Garamond"/>
          <w:sz w:val="24"/>
          <w:szCs w:val="24"/>
        </w:rPr>
      </w:pPr>
      <w:r>
        <w:rPr>
          <w:rFonts w:ascii="Garamond" w:hAnsi="Garamond"/>
          <w:sz w:val="24"/>
          <w:szCs w:val="24"/>
        </w:rPr>
        <w:t>På baggrund af principper</w:t>
      </w:r>
      <w:r w:rsidR="00FD6ABC">
        <w:rPr>
          <w:rFonts w:ascii="Garamond" w:hAnsi="Garamond"/>
          <w:sz w:val="24"/>
          <w:szCs w:val="24"/>
        </w:rPr>
        <w:t>ne</w:t>
      </w:r>
      <w:r>
        <w:rPr>
          <w:rFonts w:ascii="Garamond" w:hAnsi="Garamond"/>
          <w:sz w:val="24"/>
          <w:szCs w:val="24"/>
        </w:rPr>
        <w:t xml:space="preserve"> </w:t>
      </w:r>
      <w:r w:rsidR="00FD6ABC">
        <w:rPr>
          <w:rFonts w:ascii="Garamond" w:hAnsi="Garamond"/>
          <w:sz w:val="24"/>
          <w:szCs w:val="24"/>
        </w:rPr>
        <w:t xml:space="preserve">ovenfor </w:t>
      </w:r>
      <w:r>
        <w:rPr>
          <w:rFonts w:ascii="Garamond" w:hAnsi="Garamond"/>
          <w:sz w:val="24"/>
          <w:szCs w:val="24"/>
        </w:rPr>
        <w:t xml:space="preserve">vurderes det, at en </w:t>
      </w:r>
      <w:r w:rsidR="00224F06">
        <w:rPr>
          <w:rFonts w:ascii="Garamond" w:hAnsi="Garamond"/>
          <w:sz w:val="24"/>
          <w:szCs w:val="24"/>
        </w:rPr>
        <w:t xml:space="preserve">differentieret tilgang i forhold til </w:t>
      </w:r>
      <w:r w:rsidR="00897D01">
        <w:rPr>
          <w:rFonts w:ascii="Garamond" w:hAnsi="Garamond"/>
          <w:sz w:val="24"/>
          <w:szCs w:val="24"/>
        </w:rPr>
        <w:t xml:space="preserve">gruppen af </w:t>
      </w:r>
      <w:r w:rsidR="00224F06">
        <w:rPr>
          <w:rFonts w:ascii="Garamond" w:hAnsi="Garamond"/>
          <w:sz w:val="24"/>
          <w:szCs w:val="24"/>
        </w:rPr>
        <w:t xml:space="preserve">ældre medicinske patienter </w:t>
      </w:r>
      <w:r w:rsidR="004F687A">
        <w:rPr>
          <w:rFonts w:ascii="Garamond" w:hAnsi="Garamond"/>
          <w:sz w:val="24"/>
          <w:szCs w:val="24"/>
        </w:rPr>
        <w:t>og</w:t>
      </w:r>
      <w:r w:rsidR="004F687A" w:rsidRPr="00224F06">
        <w:rPr>
          <w:rFonts w:ascii="Garamond" w:hAnsi="Garamond"/>
          <w:sz w:val="24"/>
          <w:szCs w:val="24"/>
        </w:rPr>
        <w:t xml:space="preserve"> uhensigtsmæssige indlæggelser</w:t>
      </w:r>
      <w:r w:rsidR="004F687A">
        <w:rPr>
          <w:rFonts w:ascii="Garamond" w:hAnsi="Garamond"/>
          <w:sz w:val="24"/>
          <w:szCs w:val="24"/>
        </w:rPr>
        <w:t xml:space="preserve"> </w:t>
      </w:r>
      <w:r w:rsidR="00224F06">
        <w:rPr>
          <w:rFonts w:ascii="Garamond" w:hAnsi="Garamond"/>
          <w:sz w:val="24"/>
          <w:szCs w:val="24"/>
        </w:rPr>
        <w:t xml:space="preserve">ikke </w:t>
      </w:r>
      <w:r w:rsidR="00C05B80">
        <w:rPr>
          <w:rFonts w:ascii="Garamond" w:hAnsi="Garamond"/>
          <w:sz w:val="24"/>
          <w:szCs w:val="24"/>
        </w:rPr>
        <w:t xml:space="preserve">er </w:t>
      </w:r>
      <w:r w:rsidR="004F687A" w:rsidRPr="0026234E">
        <w:rPr>
          <w:rFonts w:ascii="Garamond" w:hAnsi="Garamond"/>
          <w:sz w:val="24"/>
          <w:szCs w:val="24"/>
        </w:rPr>
        <w:t>mulig</w:t>
      </w:r>
      <w:r w:rsidR="00C05B80">
        <w:rPr>
          <w:rFonts w:ascii="Garamond" w:hAnsi="Garamond"/>
          <w:sz w:val="24"/>
          <w:szCs w:val="24"/>
        </w:rPr>
        <w:t xml:space="preserve"> på nuværende tidspunkt</w:t>
      </w:r>
      <w:r w:rsidR="00503F90">
        <w:rPr>
          <w:rFonts w:ascii="Garamond" w:hAnsi="Garamond"/>
          <w:sz w:val="24"/>
          <w:szCs w:val="24"/>
        </w:rPr>
        <w:t>. F</w:t>
      </w:r>
      <w:r w:rsidR="00483EBC" w:rsidRPr="0026234E">
        <w:rPr>
          <w:rFonts w:ascii="Garamond" w:hAnsi="Garamond"/>
          <w:sz w:val="24"/>
          <w:szCs w:val="24"/>
        </w:rPr>
        <w:t xml:space="preserve">orskelle og fremtidige ændringer i </w:t>
      </w:r>
      <w:r w:rsidR="0026234E" w:rsidRPr="0026234E">
        <w:rPr>
          <w:rFonts w:ascii="Garamond" w:hAnsi="Garamond"/>
          <w:sz w:val="24"/>
          <w:szCs w:val="24"/>
        </w:rPr>
        <w:t>organisationsstrukturen</w:t>
      </w:r>
      <w:r w:rsidR="00483EBC" w:rsidRPr="0026234E">
        <w:rPr>
          <w:rFonts w:ascii="Garamond" w:hAnsi="Garamond"/>
          <w:sz w:val="24"/>
          <w:szCs w:val="24"/>
        </w:rPr>
        <w:t xml:space="preserve"> på sygehuse</w:t>
      </w:r>
      <w:r w:rsidR="0026234E">
        <w:rPr>
          <w:rFonts w:ascii="Garamond" w:hAnsi="Garamond"/>
          <w:sz w:val="24"/>
          <w:szCs w:val="24"/>
        </w:rPr>
        <w:t>ne</w:t>
      </w:r>
      <w:r w:rsidR="00483EBC" w:rsidRPr="0026234E">
        <w:rPr>
          <w:rFonts w:ascii="Garamond" w:hAnsi="Garamond"/>
          <w:sz w:val="24"/>
          <w:szCs w:val="24"/>
        </w:rPr>
        <w:t xml:space="preserve"> mv. </w:t>
      </w:r>
      <w:r w:rsidR="00C05B80" w:rsidRPr="0026234E">
        <w:rPr>
          <w:rFonts w:ascii="Garamond" w:hAnsi="Garamond"/>
          <w:sz w:val="24"/>
          <w:szCs w:val="24"/>
        </w:rPr>
        <w:t xml:space="preserve">gør en </w:t>
      </w:r>
      <w:r w:rsidR="00B8437D" w:rsidRPr="0026234E">
        <w:rPr>
          <w:rFonts w:ascii="Garamond" w:hAnsi="Garamond"/>
          <w:sz w:val="24"/>
          <w:szCs w:val="24"/>
        </w:rPr>
        <w:t>differentiering</w:t>
      </w:r>
      <w:r w:rsidR="00C05B80" w:rsidRPr="0026234E">
        <w:rPr>
          <w:rFonts w:ascii="Garamond" w:hAnsi="Garamond"/>
          <w:sz w:val="24"/>
          <w:szCs w:val="24"/>
        </w:rPr>
        <w:t xml:space="preserve"> </w:t>
      </w:r>
      <w:r w:rsidR="00A443C8">
        <w:rPr>
          <w:rFonts w:ascii="Garamond" w:hAnsi="Garamond"/>
          <w:sz w:val="24"/>
          <w:szCs w:val="24"/>
        </w:rPr>
        <w:t xml:space="preserve">relativ </w:t>
      </w:r>
      <w:r w:rsidR="00C05B80" w:rsidRPr="0026234E">
        <w:rPr>
          <w:rFonts w:ascii="Garamond" w:hAnsi="Garamond"/>
          <w:sz w:val="24"/>
          <w:szCs w:val="24"/>
        </w:rPr>
        <w:t>ustab</w:t>
      </w:r>
      <w:r w:rsidR="009C2968" w:rsidRPr="0026234E">
        <w:rPr>
          <w:rFonts w:ascii="Garamond" w:hAnsi="Garamond"/>
          <w:sz w:val="24"/>
          <w:szCs w:val="24"/>
        </w:rPr>
        <w:t>i</w:t>
      </w:r>
      <w:r w:rsidR="00C05B80" w:rsidRPr="0026234E">
        <w:rPr>
          <w:rFonts w:ascii="Garamond" w:hAnsi="Garamond"/>
          <w:sz w:val="24"/>
          <w:szCs w:val="24"/>
        </w:rPr>
        <w:t>l</w:t>
      </w:r>
      <w:r w:rsidR="0026234E" w:rsidRPr="0026234E">
        <w:rPr>
          <w:rFonts w:ascii="Garamond" w:hAnsi="Garamond"/>
          <w:sz w:val="24"/>
          <w:szCs w:val="24"/>
        </w:rPr>
        <w:t>, ugennemsigtig</w:t>
      </w:r>
      <w:r w:rsidR="00224F06" w:rsidRPr="0026234E">
        <w:rPr>
          <w:rFonts w:ascii="Garamond" w:hAnsi="Garamond"/>
          <w:sz w:val="24"/>
          <w:szCs w:val="24"/>
        </w:rPr>
        <w:t xml:space="preserve"> og mindre fair</w:t>
      </w:r>
      <w:r w:rsidR="009C2968" w:rsidRPr="0026234E">
        <w:rPr>
          <w:rFonts w:ascii="Garamond" w:hAnsi="Garamond"/>
          <w:sz w:val="24"/>
          <w:szCs w:val="24"/>
        </w:rPr>
        <w:t>.</w:t>
      </w:r>
      <w:r w:rsidR="0026234E" w:rsidRPr="0026234E">
        <w:rPr>
          <w:rFonts w:ascii="Garamond" w:hAnsi="Garamond"/>
          <w:sz w:val="24"/>
          <w:szCs w:val="24"/>
        </w:rPr>
        <w:t xml:space="preserve"> </w:t>
      </w:r>
      <w:r w:rsidR="0026234E">
        <w:rPr>
          <w:rFonts w:ascii="Garamond" w:hAnsi="Garamond"/>
          <w:sz w:val="24"/>
          <w:szCs w:val="24"/>
        </w:rPr>
        <w:t xml:space="preserve">At knytte en finansiering op på disse indlæggelser/patienter vil derfor alt andet lige </w:t>
      </w:r>
      <w:r w:rsidR="00A443C8">
        <w:rPr>
          <w:rFonts w:ascii="Garamond" w:hAnsi="Garamond"/>
          <w:sz w:val="24"/>
          <w:szCs w:val="24"/>
        </w:rPr>
        <w:t>være risikof</w:t>
      </w:r>
      <w:r w:rsidR="0026234E">
        <w:rPr>
          <w:rFonts w:ascii="Garamond" w:hAnsi="Garamond"/>
          <w:sz w:val="24"/>
          <w:szCs w:val="24"/>
        </w:rPr>
        <w:t xml:space="preserve">yldt. </w:t>
      </w:r>
      <w:r w:rsidR="00224F06">
        <w:rPr>
          <w:rFonts w:ascii="Garamond" w:hAnsi="Garamond"/>
          <w:sz w:val="24"/>
          <w:szCs w:val="24"/>
        </w:rPr>
        <w:t xml:space="preserve">Når </w:t>
      </w:r>
      <w:r w:rsidR="00A443C8">
        <w:rPr>
          <w:rFonts w:ascii="Garamond" w:hAnsi="Garamond"/>
          <w:sz w:val="24"/>
          <w:szCs w:val="24"/>
        </w:rPr>
        <w:t xml:space="preserve">rette </w:t>
      </w:r>
      <w:r w:rsidR="00224F06">
        <w:rPr>
          <w:rFonts w:ascii="Garamond" w:hAnsi="Garamond"/>
          <w:sz w:val="24"/>
          <w:szCs w:val="24"/>
        </w:rPr>
        <w:t xml:space="preserve">forudsætninger på sigt er tilstede </w:t>
      </w:r>
      <w:r w:rsidR="00A443C8">
        <w:rPr>
          <w:rFonts w:ascii="Garamond" w:hAnsi="Garamond"/>
          <w:sz w:val="24"/>
          <w:szCs w:val="24"/>
        </w:rPr>
        <w:t xml:space="preserve">kan </w:t>
      </w:r>
      <w:r w:rsidR="00224F06">
        <w:rPr>
          <w:rFonts w:ascii="Garamond" w:hAnsi="Garamond"/>
          <w:sz w:val="24"/>
          <w:szCs w:val="24"/>
        </w:rPr>
        <w:t xml:space="preserve">det </w:t>
      </w:r>
      <w:r w:rsidR="00A443C8">
        <w:rPr>
          <w:rFonts w:ascii="Garamond" w:hAnsi="Garamond"/>
          <w:sz w:val="24"/>
          <w:szCs w:val="24"/>
        </w:rPr>
        <w:t xml:space="preserve">umiddelbart være </w:t>
      </w:r>
      <w:r w:rsidR="00224F06">
        <w:rPr>
          <w:rFonts w:ascii="Garamond" w:hAnsi="Garamond"/>
          <w:sz w:val="24"/>
          <w:szCs w:val="24"/>
        </w:rPr>
        <w:t>hensigtsmæssigt</w:t>
      </w:r>
      <w:r w:rsidR="00224F06" w:rsidRPr="00132751">
        <w:rPr>
          <w:rFonts w:ascii="Garamond" w:hAnsi="Garamond"/>
          <w:sz w:val="24"/>
          <w:szCs w:val="24"/>
        </w:rPr>
        <w:t xml:space="preserve">, så </w:t>
      </w:r>
      <w:r w:rsidR="00C05B80">
        <w:rPr>
          <w:rFonts w:ascii="Garamond" w:hAnsi="Garamond"/>
          <w:sz w:val="24"/>
          <w:szCs w:val="24"/>
        </w:rPr>
        <w:t>denne type</w:t>
      </w:r>
      <w:r w:rsidR="00B8437D">
        <w:rPr>
          <w:rFonts w:ascii="Garamond" w:hAnsi="Garamond"/>
          <w:sz w:val="24"/>
          <w:szCs w:val="24"/>
        </w:rPr>
        <w:t xml:space="preserve"> patient/</w:t>
      </w:r>
      <w:r w:rsidR="00B8437D" w:rsidRPr="00351954">
        <w:rPr>
          <w:rFonts w:ascii="Garamond" w:hAnsi="Garamond"/>
          <w:sz w:val="24"/>
          <w:szCs w:val="24"/>
        </w:rPr>
        <w:t xml:space="preserve">indlæggelse </w:t>
      </w:r>
      <w:r w:rsidR="00224F06" w:rsidRPr="00351954">
        <w:rPr>
          <w:rFonts w:ascii="Garamond" w:hAnsi="Garamond"/>
          <w:sz w:val="24"/>
          <w:szCs w:val="24"/>
        </w:rPr>
        <w:t>pålægges en selvstændig KMF-takst</w:t>
      </w:r>
      <w:r w:rsidR="0011669B" w:rsidRPr="00351954">
        <w:rPr>
          <w:rFonts w:ascii="Garamond" w:hAnsi="Garamond"/>
          <w:sz w:val="24"/>
          <w:szCs w:val="24"/>
        </w:rPr>
        <w:t>, hvilket imidlertid må bero på en analyse på pågældende tidspunkt</w:t>
      </w:r>
      <w:r w:rsidR="00224F06" w:rsidRPr="00351954">
        <w:rPr>
          <w:rFonts w:ascii="Garamond" w:hAnsi="Garamond"/>
          <w:sz w:val="24"/>
          <w:szCs w:val="24"/>
        </w:rPr>
        <w:t>.</w:t>
      </w:r>
    </w:p>
    <w:p w:rsidR="00224F06" w:rsidRDefault="00224F06" w:rsidP="00224F06">
      <w:pPr>
        <w:spacing w:after="0"/>
        <w:jc w:val="both"/>
        <w:rPr>
          <w:rFonts w:ascii="Garamond" w:hAnsi="Garamond"/>
          <w:sz w:val="24"/>
          <w:szCs w:val="24"/>
        </w:rPr>
      </w:pPr>
      <w:r w:rsidRPr="00224F06">
        <w:rPr>
          <w:rFonts w:ascii="Garamond" w:hAnsi="Garamond"/>
          <w:sz w:val="24"/>
          <w:szCs w:val="24"/>
        </w:rPr>
        <w:t xml:space="preserve">En aldersdifferentieret tilgang </w:t>
      </w:r>
      <w:r>
        <w:rPr>
          <w:rFonts w:ascii="Garamond" w:hAnsi="Garamond"/>
          <w:sz w:val="24"/>
          <w:szCs w:val="24"/>
        </w:rPr>
        <w:t xml:space="preserve">vurderes </w:t>
      </w:r>
      <w:r w:rsidR="00503F90">
        <w:rPr>
          <w:rFonts w:ascii="Garamond" w:hAnsi="Garamond"/>
          <w:sz w:val="24"/>
          <w:szCs w:val="24"/>
        </w:rPr>
        <w:t>derimod at opfylde principper</w:t>
      </w:r>
      <w:r w:rsidR="00A075CB">
        <w:rPr>
          <w:rFonts w:ascii="Garamond" w:hAnsi="Garamond"/>
          <w:sz w:val="24"/>
          <w:szCs w:val="24"/>
        </w:rPr>
        <w:t>ne</w:t>
      </w:r>
      <w:r w:rsidR="00503F90">
        <w:rPr>
          <w:rFonts w:ascii="Garamond" w:hAnsi="Garamond"/>
          <w:sz w:val="24"/>
          <w:szCs w:val="24"/>
        </w:rPr>
        <w:t xml:space="preserve"> </w:t>
      </w:r>
      <w:r w:rsidR="008514B5">
        <w:rPr>
          <w:rFonts w:ascii="Garamond" w:hAnsi="Garamond"/>
          <w:sz w:val="24"/>
          <w:szCs w:val="24"/>
        </w:rPr>
        <w:t>dvs. e</w:t>
      </w:r>
      <w:r>
        <w:rPr>
          <w:rFonts w:ascii="Garamond" w:hAnsi="Garamond"/>
          <w:sz w:val="24"/>
          <w:szCs w:val="24"/>
        </w:rPr>
        <w:t xml:space="preserve">n model ift. alder vil være </w:t>
      </w:r>
      <w:r w:rsidR="00503F90">
        <w:rPr>
          <w:rFonts w:ascii="Garamond" w:hAnsi="Garamond"/>
          <w:sz w:val="24"/>
          <w:szCs w:val="24"/>
        </w:rPr>
        <w:t>objektiv, gennemsigtig, stabil over tid</w:t>
      </w:r>
      <w:r w:rsidR="00C05B80">
        <w:rPr>
          <w:rFonts w:ascii="Garamond" w:hAnsi="Garamond"/>
          <w:sz w:val="24"/>
          <w:szCs w:val="24"/>
        </w:rPr>
        <w:t xml:space="preserve"> </w:t>
      </w:r>
      <w:r w:rsidR="008514B5">
        <w:rPr>
          <w:rFonts w:ascii="Garamond" w:hAnsi="Garamond"/>
          <w:sz w:val="24"/>
          <w:szCs w:val="24"/>
        </w:rPr>
        <w:t>og alt andet lige ikke være for administrativ tung</w:t>
      </w:r>
      <w:r>
        <w:rPr>
          <w:rFonts w:ascii="Garamond" w:hAnsi="Garamond"/>
          <w:sz w:val="24"/>
          <w:szCs w:val="24"/>
        </w:rPr>
        <w:t xml:space="preserve">. </w:t>
      </w:r>
      <w:r w:rsidR="0026234E">
        <w:rPr>
          <w:rFonts w:ascii="Garamond" w:hAnsi="Garamond"/>
          <w:sz w:val="24"/>
          <w:szCs w:val="24"/>
        </w:rPr>
        <w:t xml:space="preserve">Da de uhensigtsmæssige indlæggelser stiger med alderen vil en aldersdifferentiering også slå igennem ift. disse </w:t>
      </w:r>
      <w:r w:rsidR="00A075CB">
        <w:rPr>
          <w:rFonts w:ascii="Garamond" w:hAnsi="Garamond"/>
          <w:sz w:val="24"/>
          <w:szCs w:val="24"/>
        </w:rPr>
        <w:t>indlæggelser,</w:t>
      </w:r>
      <w:r w:rsidR="00897D01">
        <w:rPr>
          <w:rFonts w:ascii="Garamond" w:hAnsi="Garamond"/>
          <w:sz w:val="24"/>
          <w:szCs w:val="24"/>
        </w:rPr>
        <w:t xml:space="preserve"> og alt andet lige </w:t>
      </w:r>
      <w:r w:rsidR="00A075CB">
        <w:rPr>
          <w:rFonts w:ascii="Garamond" w:hAnsi="Garamond"/>
          <w:sz w:val="24"/>
          <w:szCs w:val="24"/>
        </w:rPr>
        <w:t xml:space="preserve">også i forhold til </w:t>
      </w:r>
      <w:r w:rsidR="00897D01">
        <w:rPr>
          <w:rFonts w:ascii="Garamond" w:hAnsi="Garamond"/>
          <w:sz w:val="24"/>
          <w:szCs w:val="24"/>
        </w:rPr>
        <w:t>de ældre medicinske patienter</w:t>
      </w:r>
      <w:r w:rsidR="0026234E">
        <w:rPr>
          <w:rFonts w:ascii="Garamond" w:hAnsi="Garamond"/>
          <w:sz w:val="24"/>
          <w:szCs w:val="24"/>
        </w:rPr>
        <w:t xml:space="preserve">. </w:t>
      </w:r>
    </w:p>
    <w:p w:rsidR="0053397E" w:rsidRDefault="0053397E" w:rsidP="00725798">
      <w:pPr>
        <w:pStyle w:val="Overskrift3"/>
        <w:spacing w:before="0"/>
        <w:rPr>
          <w:b w:val="0"/>
          <w:color w:val="365F91" w:themeColor="accent1" w:themeShade="BF"/>
        </w:rPr>
      </w:pPr>
    </w:p>
    <w:p w:rsidR="00725798" w:rsidRPr="00224F06" w:rsidRDefault="00725798" w:rsidP="00725798">
      <w:pPr>
        <w:pStyle w:val="Overskrift3"/>
        <w:spacing w:before="0"/>
        <w:rPr>
          <w:b w:val="0"/>
          <w:color w:val="365F91" w:themeColor="accent1" w:themeShade="BF"/>
        </w:rPr>
      </w:pPr>
      <w:bookmarkStart w:id="10" w:name="_Toc451358725"/>
      <w:r>
        <w:rPr>
          <w:b w:val="0"/>
          <w:color w:val="365F91" w:themeColor="accent1" w:themeShade="BF"/>
        </w:rPr>
        <w:t xml:space="preserve">3.2.3 En differentieret ordning </w:t>
      </w:r>
      <w:r w:rsidR="00FD6ABC">
        <w:rPr>
          <w:b w:val="0"/>
          <w:color w:val="365F91" w:themeColor="accent1" w:themeShade="BF"/>
        </w:rPr>
        <w:t>ift.</w:t>
      </w:r>
      <w:r>
        <w:rPr>
          <w:b w:val="0"/>
          <w:color w:val="365F91" w:themeColor="accent1" w:themeShade="BF"/>
        </w:rPr>
        <w:t xml:space="preserve"> alder</w:t>
      </w:r>
      <w:bookmarkEnd w:id="10"/>
    </w:p>
    <w:p w:rsidR="002923BA" w:rsidRDefault="00FE6833" w:rsidP="00805DF4">
      <w:pPr>
        <w:spacing w:after="0"/>
        <w:jc w:val="both"/>
        <w:rPr>
          <w:rFonts w:ascii="Garamond" w:hAnsi="Garamond"/>
          <w:sz w:val="24"/>
          <w:szCs w:val="24"/>
        </w:rPr>
      </w:pPr>
      <w:r>
        <w:rPr>
          <w:rFonts w:ascii="Garamond" w:hAnsi="Garamond"/>
          <w:sz w:val="24"/>
          <w:szCs w:val="24"/>
        </w:rPr>
        <w:t>S</w:t>
      </w:r>
      <w:r w:rsidR="002923BA" w:rsidRPr="00351954">
        <w:rPr>
          <w:rFonts w:ascii="Garamond" w:hAnsi="Garamond"/>
          <w:sz w:val="24"/>
          <w:szCs w:val="24"/>
        </w:rPr>
        <w:t xml:space="preserve">måbørn </w:t>
      </w:r>
      <w:r>
        <w:rPr>
          <w:rFonts w:ascii="Garamond" w:hAnsi="Garamond"/>
          <w:sz w:val="24"/>
          <w:szCs w:val="24"/>
        </w:rPr>
        <w:t>og æ</w:t>
      </w:r>
      <w:r w:rsidRPr="00351954">
        <w:rPr>
          <w:rFonts w:ascii="Garamond" w:hAnsi="Garamond"/>
          <w:sz w:val="24"/>
          <w:szCs w:val="24"/>
        </w:rPr>
        <w:t xml:space="preserve">ldre borgere </w:t>
      </w:r>
      <w:r w:rsidR="002923BA" w:rsidRPr="00351954">
        <w:rPr>
          <w:rFonts w:ascii="Garamond" w:hAnsi="Garamond"/>
          <w:sz w:val="24"/>
          <w:szCs w:val="24"/>
        </w:rPr>
        <w:t>trækker relativt mere på sundhedsvæsenet end øvrige borgere</w:t>
      </w:r>
      <w:r>
        <w:rPr>
          <w:rFonts w:ascii="Garamond" w:hAnsi="Garamond"/>
          <w:sz w:val="24"/>
          <w:szCs w:val="24"/>
        </w:rPr>
        <w:t xml:space="preserve"> og dertil </w:t>
      </w:r>
      <w:r>
        <w:rPr>
          <w:rFonts w:ascii="Garamond" w:hAnsi="Garamond"/>
          <w:sz w:val="24"/>
          <w:szCs w:val="24"/>
        </w:rPr>
        <w:t xml:space="preserve">har kommunerne </w:t>
      </w:r>
      <w:r>
        <w:rPr>
          <w:rFonts w:ascii="Garamond" w:hAnsi="Garamond"/>
          <w:sz w:val="24"/>
          <w:szCs w:val="24"/>
        </w:rPr>
        <w:t>i</w:t>
      </w:r>
      <w:r w:rsidRPr="00351954">
        <w:rPr>
          <w:rFonts w:ascii="Garamond" w:hAnsi="Garamond"/>
          <w:sz w:val="24"/>
          <w:szCs w:val="24"/>
        </w:rPr>
        <w:t xml:space="preserve"> forvejen fokus på og kontakt med</w:t>
      </w:r>
      <w:r w:rsidRPr="00FE6833">
        <w:rPr>
          <w:rFonts w:ascii="Garamond" w:hAnsi="Garamond"/>
          <w:sz w:val="24"/>
          <w:szCs w:val="24"/>
        </w:rPr>
        <w:t xml:space="preserve"> </w:t>
      </w:r>
      <w:r>
        <w:rPr>
          <w:rFonts w:ascii="Garamond" w:hAnsi="Garamond"/>
          <w:sz w:val="24"/>
          <w:szCs w:val="24"/>
        </w:rPr>
        <w:t>denne gruppe</w:t>
      </w:r>
      <w:r w:rsidR="002923BA" w:rsidRPr="00351954">
        <w:rPr>
          <w:rFonts w:ascii="Garamond" w:hAnsi="Garamond"/>
          <w:i/>
          <w:sz w:val="24"/>
          <w:szCs w:val="24"/>
        </w:rPr>
        <w:t>, jf. boks 3.</w:t>
      </w:r>
      <w:r w:rsidR="00A075CB">
        <w:rPr>
          <w:rFonts w:ascii="Garamond" w:hAnsi="Garamond"/>
          <w:i/>
          <w:sz w:val="24"/>
          <w:szCs w:val="24"/>
        </w:rPr>
        <w:t>3</w:t>
      </w:r>
      <w:r w:rsidR="002923BA">
        <w:rPr>
          <w:rFonts w:ascii="Garamond" w:hAnsi="Garamond"/>
          <w:sz w:val="24"/>
          <w:szCs w:val="24"/>
        </w:rPr>
        <w:t>. En differentieret KMF kunne derfor b</w:t>
      </w:r>
      <w:r w:rsidR="00073C86">
        <w:rPr>
          <w:rFonts w:ascii="Garamond" w:hAnsi="Garamond"/>
          <w:sz w:val="24"/>
          <w:szCs w:val="24"/>
        </w:rPr>
        <w:t>aseres</w:t>
      </w:r>
      <w:r w:rsidR="002923BA">
        <w:rPr>
          <w:rFonts w:ascii="Garamond" w:hAnsi="Garamond"/>
          <w:sz w:val="24"/>
          <w:szCs w:val="24"/>
        </w:rPr>
        <w:t xml:space="preserve"> på en øge</w:t>
      </w:r>
      <w:r w:rsidR="00FE0D75">
        <w:rPr>
          <w:rFonts w:ascii="Garamond" w:hAnsi="Garamond"/>
          <w:sz w:val="24"/>
          <w:szCs w:val="24"/>
        </w:rPr>
        <w:t>t</w:t>
      </w:r>
      <w:r w:rsidR="002923BA">
        <w:rPr>
          <w:rFonts w:ascii="Garamond" w:hAnsi="Garamond"/>
          <w:sz w:val="24"/>
          <w:szCs w:val="24"/>
        </w:rPr>
        <w:t xml:space="preserve"> betaling for ældre og småbørn.  </w:t>
      </w:r>
    </w:p>
    <w:p w:rsidR="0053397E" w:rsidRDefault="0053397E" w:rsidP="006A547E">
      <w:pPr>
        <w:spacing w:after="0"/>
        <w:jc w:val="both"/>
        <w:rPr>
          <w:rFonts w:ascii="Garamond" w:hAnsi="Garamond"/>
          <w:sz w:val="24"/>
          <w:szCs w:val="24"/>
        </w:rPr>
      </w:pPr>
    </w:p>
    <w:tbl>
      <w:tblPr>
        <w:tblStyle w:val="Tabel-Gitter"/>
        <w:tblpPr w:leftFromText="141" w:rightFromText="141" w:vertAnchor="text" w:horzAnchor="margin" w:tblpX="108" w:tblpY="-41"/>
        <w:tblW w:w="7479"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479"/>
      </w:tblGrid>
      <w:tr w:rsidR="0053397E" w:rsidRPr="004524AC" w:rsidTr="00B30869">
        <w:tc>
          <w:tcPr>
            <w:tcW w:w="7479" w:type="dxa"/>
            <w:shd w:val="clear" w:color="auto" w:fill="E9EFEC"/>
            <w:hideMark/>
          </w:tcPr>
          <w:p w:rsidR="0053397E" w:rsidRPr="00B30869" w:rsidRDefault="0053397E" w:rsidP="00FE0D75">
            <w:pPr>
              <w:spacing w:line="276" w:lineRule="auto"/>
              <w:rPr>
                <w:rFonts w:ascii="Garamond" w:hAnsi="Garamond"/>
                <w:b/>
                <w:sz w:val="16"/>
                <w:szCs w:val="16"/>
              </w:rPr>
            </w:pPr>
            <w:r w:rsidRPr="00B30869">
              <w:rPr>
                <w:rFonts w:ascii="Garamond" w:hAnsi="Garamond"/>
                <w:b/>
                <w:sz w:val="16"/>
                <w:szCs w:val="16"/>
              </w:rPr>
              <w:t>Boks 3.</w:t>
            </w:r>
            <w:r w:rsidR="00FE0D75" w:rsidRPr="00B30869">
              <w:rPr>
                <w:rFonts w:ascii="Garamond" w:hAnsi="Garamond"/>
                <w:b/>
                <w:sz w:val="16"/>
                <w:szCs w:val="16"/>
              </w:rPr>
              <w:t>3</w:t>
            </w:r>
            <w:r w:rsidRPr="00B30869">
              <w:rPr>
                <w:rFonts w:ascii="Garamond" w:hAnsi="Garamond"/>
                <w:b/>
                <w:sz w:val="16"/>
                <w:szCs w:val="16"/>
              </w:rPr>
              <w:br/>
              <w:t>Ældre borgere og småbørn</w:t>
            </w:r>
          </w:p>
          <w:p w:rsidR="0053397E" w:rsidRPr="00351954" w:rsidRDefault="0053397E" w:rsidP="00351954">
            <w:pPr>
              <w:spacing w:before="240" w:line="276" w:lineRule="auto"/>
              <w:jc w:val="both"/>
              <w:rPr>
                <w:rFonts w:asciiTheme="minorHAnsi" w:hAnsiTheme="minorHAnsi"/>
                <w:sz w:val="16"/>
                <w:szCs w:val="16"/>
              </w:rPr>
            </w:pPr>
            <w:r w:rsidRPr="00351954">
              <w:rPr>
                <w:rFonts w:asciiTheme="minorHAnsi" w:hAnsiTheme="minorHAnsi"/>
                <w:sz w:val="16"/>
                <w:szCs w:val="16"/>
              </w:rPr>
              <w:t>Generelt trækker ældre borgere mere på sundhedsvæsenet end de yngre afledt af bl.a. mange indlæggelser og ambulante besøg. Det er derved også denne gruppe, der trækker flest udgifter til KMF</w:t>
            </w:r>
            <w:r w:rsidRPr="00351954">
              <w:rPr>
                <w:rFonts w:asciiTheme="minorHAnsi" w:hAnsiTheme="minorHAnsi"/>
                <w:i/>
                <w:sz w:val="16"/>
                <w:szCs w:val="16"/>
              </w:rPr>
              <w:t>, jf. figur 3.</w:t>
            </w:r>
            <w:r w:rsidR="00FE0D75">
              <w:rPr>
                <w:rFonts w:asciiTheme="minorHAnsi" w:hAnsiTheme="minorHAnsi"/>
                <w:i/>
                <w:sz w:val="16"/>
                <w:szCs w:val="16"/>
              </w:rPr>
              <w:t>4</w:t>
            </w:r>
            <w:r w:rsidRPr="00351954">
              <w:rPr>
                <w:rFonts w:asciiTheme="minorHAnsi" w:hAnsiTheme="minorHAnsi"/>
                <w:sz w:val="16"/>
                <w:szCs w:val="16"/>
              </w:rPr>
              <w:t>. Det gennemsnitlige bidrag til KMF for en 40 årig var ca. 2.500 kr. i 2014, mens det for en 80årig var ca. 9.000 kr</w:t>
            </w:r>
            <w:r w:rsidRPr="00351954">
              <w:rPr>
                <w:rFonts w:asciiTheme="minorHAnsi" w:hAnsiTheme="minorHAnsi"/>
                <w:i/>
                <w:sz w:val="16"/>
                <w:szCs w:val="16"/>
              </w:rPr>
              <w:t>., jf. figur 3.</w:t>
            </w:r>
            <w:r w:rsidR="00FE0D75">
              <w:rPr>
                <w:rFonts w:asciiTheme="minorHAnsi" w:hAnsiTheme="minorHAnsi"/>
                <w:i/>
                <w:sz w:val="16"/>
                <w:szCs w:val="16"/>
              </w:rPr>
              <w:t>5</w:t>
            </w:r>
            <w:r w:rsidRPr="00351954">
              <w:rPr>
                <w:rFonts w:asciiTheme="minorHAnsi" w:hAnsiTheme="minorHAnsi"/>
                <w:sz w:val="16"/>
                <w:szCs w:val="16"/>
              </w:rPr>
              <w:t>. Dertil ses at særligt små børn (0-2 år) også har hyppigt kontakt til sygehusvæsenet</w:t>
            </w:r>
            <w:r w:rsidRPr="00351954">
              <w:rPr>
                <w:rFonts w:asciiTheme="minorHAnsi" w:hAnsiTheme="minorHAnsi"/>
                <w:sz w:val="16"/>
                <w:szCs w:val="16"/>
                <w:vertAlign w:val="superscript"/>
              </w:rPr>
              <w:footnoteReference w:id="1"/>
            </w:r>
            <w:r w:rsidRPr="00351954">
              <w:rPr>
                <w:rFonts w:asciiTheme="minorHAnsi" w:hAnsiTheme="minorHAnsi"/>
                <w:sz w:val="16"/>
                <w:szCs w:val="16"/>
              </w:rPr>
              <w:t>.</w:t>
            </w:r>
          </w:p>
          <w:tbl>
            <w:tblPr>
              <w:tblStyle w:val="Tabel-Gitter"/>
              <w:tblpPr w:leftFromText="141" w:rightFromText="141" w:vertAnchor="text" w:horzAnchor="margin" w:tblpX="-34" w:tblpY="447"/>
              <w:tblW w:w="7256"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3628"/>
              <w:gridCol w:w="3628"/>
            </w:tblGrid>
            <w:tr w:rsidR="0053397E" w:rsidRPr="00224F06" w:rsidTr="00351954">
              <w:trPr>
                <w:trHeight w:val="548"/>
              </w:trPr>
              <w:tc>
                <w:tcPr>
                  <w:tcW w:w="3628" w:type="dxa"/>
                  <w:tcBorders>
                    <w:top w:val="single" w:sz="12" w:space="0" w:color="auto"/>
                    <w:left w:val="nil"/>
                    <w:bottom w:val="single" w:sz="4" w:space="0" w:color="auto"/>
                    <w:right w:val="single" w:sz="8" w:space="0" w:color="auto"/>
                  </w:tcBorders>
                  <w:shd w:val="clear" w:color="auto" w:fill="E9EFEC"/>
                </w:tcPr>
                <w:p w:rsidR="0053397E" w:rsidRPr="00224F06" w:rsidRDefault="0053397E" w:rsidP="0053397E">
                  <w:pPr>
                    <w:spacing w:line="240" w:lineRule="auto"/>
                    <w:rPr>
                      <w:rFonts w:asciiTheme="minorHAnsi" w:hAnsiTheme="minorHAnsi"/>
                      <w:b/>
                      <w:sz w:val="16"/>
                      <w:szCs w:val="16"/>
                    </w:rPr>
                  </w:pPr>
                  <w:r w:rsidRPr="00224F06">
                    <w:rPr>
                      <w:rFonts w:asciiTheme="minorHAnsi" w:hAnsiTheme="minorHAnsi"/>
                      <w:b/>
                      <w:sz w:val="16"/>
                      <w:szCs w:val="16"/>
                    </w:rPr>
                    <w:t>Figur</w:t>
                  </w:r>
                  <w:r w:rsidR="00FE0D75">
                    <w:rPr>
                      <w:rFonts w:asciiTheme="minorHAnsi" w:hAnsiTheme="minorHAnsi"/>
                      <w:b/>
                      <w:sz w:val="16"/>
                      <w:szCs w:val="16"/>
                    </w:rPr>
                    <w:t xml:space="preserve"> 3.4</w:t>
                  </w:r>
                  <w:r w:rsidRPr="00224F06">
                    <w:rPr>
                      <w:rFonts w:asciiTheme="minorHAnsi" w:hAnsiTheme="minorHAnsi"/>
                      <w:b/>
                      <w:sz w:val="16"/>
                      <w:szCs w:val="16"/>
                    </w:rPr>
                    <w:br/>
                  </w:r>
                  <w:r w:rsidRPr="00224F06">
                    <w:rPr>
                      <w:rFonts w:asciiTheme="minorHAnsi" w:hAnsiTheme="minorHAnsi"/>
                      <w:b/>
                      <w:color w:val="000000"/>
                      <w:sz w:val="16"/>
                      <w:szCs w:val="16"/>
                    </w:rPr>
                    <w:t xml:space="preserve">Antal </w:t>
                  </w:r>
                  <w:r>
                    <w:rPr>
                      <w:rFonts w:asciiTheme="minorHAnsi" w:hAnsiTheme="minorHAnsi"/>
                      <w:b/>
                      <w:color w:val="000000"/>
                      <w:sz w:val="16"/>
                      <w:szCs w:val="16"/>
                    </w:rPr>
                    <w:t>ud</w:t>
                  </w:r>
                  <w:r w:rsidRPr="000B1AEF">
                    <w:rPr>
                      <w:rFonts w:asciiTheme="minorHAnsi" w:hAnsiTheme="minorHAnsi"/>
                      <w:b/>
                      <w:color w:val="000000"/>
                      <w:sz w:val="16"/>
                      <w:szCs w:val="16"/>
                    </w:rPr>
                    <w:t>skrivninger og ambulante besøg fordelt efter alder, 2015</w:t>
                  </w:r>
                </w:p>
              </w:tc>
              <w:tc>
                <w:tcPr>
                  <w:tcW w:w="3628" w:type="dxa"/>
                  <w:tcBorders>
                    <w:top w:val="single" w:sz="12" w:space="0" w:color="auto"/>
                    <w:left w:val="nil"/>
                    <w:bottom w:val="single" w:sz="4" w:space="0" w:color="auto"/>
                    <w:right w:val="nil"/>
                  </w:tcBorders>
                  <w:shd w:val="clear" w:color="auto" w:fill="E9EFEC"/>
                  <w:hideMark/>
                </w:tcPr>
                <w:p w:rsidR="0053397E" w:rsidRPr="00224F06" w:rsidRDefault="0053397E" w:rsidP="0053397E">
                  <w:pPr>
                    <w:spacing w:line="240" w:lineRule="auto"/>
                    <w:rPr>
                      <w:rFonts w:asciiTheme="minorHAnsi" w:hAnsiTheme="minorHAnsi"/>
                      <w:b/>
                      <w:color w:val="000000"/>
                      <w:sz w:val="16"/>
                      <w:szCs w:val="16"/>
                    </w:rPr>
                  </w:pPr>
                  <w:r w:rsidRPr="00224F06">
                    <w:rPr>
                      <w:rFonts w:asciiTheme="minorHAnsi" w:hAnsiTheme="minorHAnsi"/>
                      <w:b/>
                      <w:sz w:val="16"/>
                      <w:szCs w:val="16"/>
                    </w:rPr>
                    <w:t xml:space="preserve">Figur </w:t>
                  </w:r>
                  <w:r>
                    <w:rPr>
                      <w:rFonts w:asciiTheme="minorHAnsi" w:hAnsiTheme="minorHAnsi"/>
                      <w:b/>
                      <w:sz w:val="16"/>
                      <w:szCs w:val="16"/>
                    </w:rPr>
                    <w:t>3</w:t>
                  </w:r>
                  <w:r w:rsidRPr="00224F06">
                    <w:rPr>
                      <w:rFonts w:asciiTheme="minorHAnsi" w:hAnsiTheme="minorHAnsi"/>
                      <w:b/>
                      <w:sz w:val="16"/>
                      <w:szCs w:val="16"/>
                    </w:rPr>
                    <w:t>.</w:t>
                  </w:r>
                  <w:r w:rsidR="00FE0D75">
                    <w:rPr>
                      <w:rFonts w:asciiTheme="minorHAnsi" w:hAnsiTheme="minorHAnsi"/>
                      <w:b/>
                      <w:sz w:val="16"/>
                      <w:szCs w:val="16"/>
                    </w:rPr>
                    <w:t>5</w:t>
                  </w:r>
                  <w:r w:rsidRPr="00224F06">
                    <w:rPr>
                      <w:rFonts w:asciiTheme="minorHAnsi" w:hAnsiTheme="minorHAnsi"/>
                      <w:b/>
                      <w:sz w:val="16"/>
                      <w:szCs w:val="16"/>
                    </w:rPr>
                    <w:br/>
                  </w:r>
                  <w:r w:rsidRPr="00224F06">
                    <w:rPr>
                      <w:rFonts w:asciiTheme="minorHAnsi" w:hAnsiTheme="minorHAnsi"/>
                      <w:b/>
                      <w:color w:val="000000"/>
                      <w:sz w:val="16"/>
                      <w:szCs w:val="16"/>
                    </w:rPr>
                    <w:t>Kommunal medfinansiering for somatik og sygesikring fordelt efter alder, 2014</w:t>
                  </w:r>
                </w:p>
              </w:tc>
            </w:tr>
            <w:tr w:rsidR="0053397E" w:rsidRPr="008613E8" w:rsidTr="00351954">
              <w:tblPrEx>
                <w:tblCellMar>
                  <w:left w:w="70" w:type="dxa"/>
                  <w:right w:w="70" w:type="dxa"/>
                </w:tblCellMar>
              </w:tblPrEx>
              <w:trPr>
                <w:trHeight w:val="2784"/>
              </w:trPr>
              <w:tc>
                <w:tcPr>
                  <w:tcW w:w="3628" w:type="dxa"/>
                  <w:tcBorders>
                    <w:top w:val="single" w:sz="4" w:space="0" w:color="auto"/>
                    <w:left w:val="nil"/>
                    <w:bottom w:val="single" w:sz="4" w:space="0" w:color="auto"/>
                    <w:right w:val="single" w:sz="8" w:space="0" w:color="auto"/>
                  </w:tcBorders>
                  <w:shd w:val="clear" w:color="auto" w:fill="E9EFEC"/>
                </w:tcPr>
                <w:p w:rsidR="0053397E" w:rsidRPr="008613E8" w:rsidRDefault="0053397E" w:rsidP="0053397E">
                  <w:pPr>
                    <w:spacing w:line="240" w:lineRule="auto"/>
                    <w:jc w:val="center"/>
                    <w:rPr>
                      <w:rFonts w:asciiTheme="minorHAnsi" w:hAnsiTheme="minorHAnsi"/>
                      <w:sz w:val="14"/>
                      <w:szCs w:val="14"/>
                    </w:rPr>
                  </w:pPr>
                  <w:r>
                    <w:rPr>
                      <w:noProof/>
                    </w:rPr>
                    <w:drawing>
                      <wp:inline distT="0" distB="0" distL="0" distR="0" wp14:anchorId="77C2D4AA" wp14:editId="08656DEE">
                        <wp:extent cx="2191110" cy="1526876"/>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628" w:type="dxa"/>
                  <w:tcBorders>
                    <w:top w:val="single" w:sz="4" w:space="0" w:color="auto"/>
                    <w:left w:val="nil"/>
                    <w:bottom w:val="single" w:sz="4" w:space="0" w:color="auto"/>
                    <w:right w:val="nil"/>
                  </w:tcBorders>
                  <w:shd w:val="clear" w:color="auto" w:fill="E9EFEC"/>
                </w:tcPr>
                <w:p w:rsidR="0053397E" w:rsidRPr="008613E8" w:rsidRDefault="0053397E" w:rsidP="0053397E">
                  <w:pPr>
                    <w:spacing w:line="240" w:lineRule="auto"/>
                    <w:jc w:val="both"/>
                    <w:rPr>
                      <w:rFonts w:asciiTheme="minorHAnsi" w:hAnsiTheme="minorHAnsi"/>
                      <w:sz w:val="14"/>
                      <w:szCs w:val="14"/>
                    </w:rPr>
                  </w:pPr>
                  <w:r w:rsidRPr="008613E8">
                    <w:rPr>
                      <w:noProof/>
                      <w:sz w:val="14"/>
                      <w:szCs w:val="14"/>
                    </w:rPr>
                    <w:drawing>
                      <wp:inline distT="0" distB="0" distL="0" distR="0" wp14:anchorId="3636F3CA" wp14:editId="75336C4A">
                        <wp:extent cx="2234241" cy="1578634"/>
                        <wp:effectExtent l="0" t="0" r="0" b="254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3397E" w:rsidRPr="008613E8" w:rsidTr="00351954">
              <w:trPr>
                <w:trHeight w:val="174"/>
              </w:trPr>
              <w:tc>
                <w:tcPr>
                  <w:tcW w:w="3628" w:type="dxa"/>
                  <w:tcBorders>
                    <w:top w:val="single" w:sz="4" w:space="0" w:color="auto"/>
                    <w:left w:val="nil"/>
                    <w:bottom w:val="single" w:sz="12" w:space="0" w:color="auto"/>
                    <w:right w:val="single" w:sz="8" w:space="0" w:color="auto"/>
                  </w:tcBorders>
                  <w:shd w:val="clear" w:color="auto" w:fill="E9EFEC"/>
                </w:tcPr>
                <w:p w:rsidR="0053397E" w:rsidRDefault="0053397E" w:rsidP="0053397E">
                  <w:pPr>
                    <w:spacing w:line="240" w:lineRule="auto"/>
                    <w:jc w:val="both"/>
                    <w:rPr>
                      <w:rFonts w:asciiTheme="minorHAnsi" w:hAnsiTheme="minorHAnsi"/>
                      <w:sz w:val="14"/>
                      <w:szCs w:val="14"/>
                    </w:rPr>
                  </w:pPr>
                  <w:r>
                    <w:rPr>
                      <w:rFonts w:asciiTheme="minorHAnsi" w:hAnsiTheme="minorHAnsi"/>
                      <w:sz w:val="14"/>
                      <w:szCs w:val="14"/>
                    </w:rPr>
                    <w:t>Amn.: Eksl. ikke-taktsbærende besøg.</w:t>
                  </w:r>
                </w:p>
                <w:p w:rsidR="0053397E" w:rsidRPr="008613E8" w:rsidRDefault="0053397E" w:rsidP="0053397E">
                  <w:pPr>
                    <w:spacing w:line="240" w:lineRule="auto"/>
                    <w:jc w:val="both"/>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c>
                <w:tcPr>
                  <w:tcW w:w="3628" w:type="dxa"/>
                  <w:tcBorders>
                    <w:top w:val="single" w:sz="4" w:space="0" w:color="auto"/>
                    <w:left w:val="nil"/>
                    <w:bottom w:val="single" w:sz="12" w:space="0" w:color="auto"/>
                    <w:right w:val="nil"/>
                  </w:tcBorders>
                  <w:shd w:val="clear" w:color="auto" w:fill="E9EFEC"/>
                </w:tcPr>
                <w:p w:rsidR="0053397E" w:rsidRPr="008613E8" w:rsidRDefault="0053397E" w:rsidP="0053397E">
                  <w:pPr>
                    <w:spacing w:line="240" w:lineRule="auto"/>
                    <w:jc w:val="both"/>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r>
          </w:tbl>
          <w:p w:rsidR="0053397E" w:rsidRDefault="0053397E" w:rsidP="0053397E">
            <w:pPr>
              <w:jc w:val="both"/>
              <w:rPr>
                <w:rFonts w:ascii="Garamond" w:hAnsi="Garamond"/>
                <w:sz w:val="24"/>
                <w:szCs w:val="24"/>
              </w:rPr>
            </w:pPr>
          </w:p>
          <w:p w:rsidR="00FE0D75" w:rsidRDefault="00FE0D75" w:rsidP="0053397E">
            <w:pPr>
              <w:jc w:val="both"/>
              <w:rPr>
                <w:rFonts w:ascii="Garamond" w:hAnsi="Garamond"/>
                <w:sz w:val="24"/>
                <w:szCs w:val="24"/>
              </w:rPr>
            </w:pPr>
          </w:p>
          <w:p w:rsidR="0053397E" w:rsidRPr="00B30869" w:rsidRDefault="0053397E" w:rsidP="0053397E">
            <w:pPr>
              <w:jc w:val="both"/>
              <w:rPr>
                <w:rFonts w:asciiTheme="minorHAnsi" w:hAnsiTheme="minorHAnsi"/>
                <w:sz w:val="16"/>
                <w:szCs w:val="16"/>
              </w:rPr>
            </w:pPr>
            <w:r w:rsidRPr="00B30869">
              <w:rPr>
                <w:rFonts w:asciiTheme="minorHAnsi" w:hAnsiTheme="minorHAnsi"/>
                <w:sz w:val="16"/>
                <w:szCs w:val="16"/>
              </w:rPr>
              <w:t xml:space="preserve">Antal akutte genindlæggelser stiger også med alderen. </w:t>
            </w:r>
            <w:r w:rsidRPr="00B30869">
              <w:rPr>
                <w:rFonts w:asciiTheme="minorHAnsi" w:hAnsiTheme="minorHAnsi" w:cs="Arial"/>
                <w:sz w:val="16"/>
                <w:szCs w:val="16"/>
              </w:rPr>
              <w:t>I alderen 30-64 fører knap 6 pct. af indlæggelserne til en genindlæggelse, mens det for en 85+årige er godt 11 pct. af indlæggelserne, som efterfølges af en genindlæggelse</w:t>
            </w:r>
            <w:r w:rsidRPr="00B30869">
              <w:rPr>
                <w:rFonts w:asciiTheme="minorHAnsi" w:hAnsiTheme="minorHAnsi" w:cs="Arial"/>
                <w:i/>
                <w:sz w:val="16"/>
                <w:szCs w:val="16"/>
              </w:rPr>
              <w:t xml:space="preserve"> jf. figur 3,</w:t>
            </w:r>
            <w:r w:rsidR="00FE0D75">
              <w:rPr>
                <w:rFonts w:asciiTheme="minorHAnsi" w:hAnsiTheme="minorHAnsi" w:cs="Arial"/>
                <w:i/>
                <w:sz w:val="16"/>
                <w:szCs w:val="16"/>
              </w:rPr>
              <w:t>6</w:t>
            </w:r>
            <w:r w:rsidRPr="00B30869">
              <w:rPr>
                <w:rFonts w:asciiTheme="minorHAnsi" w:hAnsiTheme="minorHAnsi" w:cs="Arial"/>
                <w:sz w:val="16"/>
                <w:szCs w:val="16"/>
              </w:rPr>
              <w:t>. Småbørn (0-2 år) afviger dog fra tendensen</w:t>
            </w:r>
            <w:r w:rsidRPr="00B30869">
              <w:rPr>
                <w:rFonts w:asciiTheme="minorHAnsi" w:hAnsiTheme="minorHAnsi"/>
                <w:sz w:val="16"/>
                <w:szCs w:val="16"/>
              </w:rPr>
              <w:t xml:space="preserve"> – antal genindlæggelser for 0-2-årige udgjorde 6 pct. af alle indlæggelser i 2014, heraf </w:t>
            </w:r>
            <w:r w:rsidRPr="00B30869">
              <w:rPr>
                <w:rFonts w:asciiTheme="minorHAnsi" w:hAnsiTheme="minorHAnsi" w:cs="Arial"/>
                <w:sz w:val="16"/>
                <w:szCs w:val="16"/>
              </w:rPr>
              <w:t xml:space="preserve">udgjorde </w:t>
            </w:r>
            <w:r w:rsidRPr="00B30869">
              <w:rPr>
                <w:rFonts w:asciiTheme="minorHAnsi" w:hAnsiTheme="minorHAnsi"/>
                <w:sz w:val="16"/>
                <w:szCs w:val="16"/>
              </w:rPr>
              <w:t xml:space="preserve">antal genindlæggelser </w:t>
            </w:r>
            <w:r w:rsidRPr="00B30869">
              <w:rPr>
                <w:rFonts w:asciiTheme="minorHAnsi" w:hAnsiTheme="minorHAnsi" w:cs="Arial"/>
                <w:sz w:val="16"/>
                <w:szCs w:val="16"/>
              </w:rPr>
              <w:t xml:space="preserve">knap 8,2 pct. af indlæggelserne for 1-årige børn. </w:t>
            </w:r>
          </w:p>
          <w:tbl>
            <w:tblPr>
              <w:tblStyle w:val="Tabel-Gitter"/>
              <w:tblpPr w:leftFromText="141" w:rightFromText="141" w:vertAnchor="text" w:horzAnchor="margin" w:tblpY="-10761"/>
              <w:tblOverlap w:val="never"/>
              <w:tblW w:w="7230"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3686"/>
              <w:gridCol w:w="3544"/>
            </w:tblGrid>
            <w:tr w:rsidR="0053397E" w:rsidRPr="00224F06" w:rsidTr="00B30869">
              <w:trPr>
                <w:trHeight w:val="548"/>
              </w:trPr>
              <w:tc>
                <w:tcPr>
                  <w:tcW w:w="3686" w:type="dxa"/>
                  <w:tcBorders>
                    <w:top w:val="single" w:sz="12" w:space="0" w:color="auto"/>
                    <w:left w:val="nil"/>
                    <w:bottom w:val="single" w:sz="4" w:space="0" w:color="auto"/>
                    <w:right w:val="single" w:sz="8" w:space="0" w:color="auto"/>
                  </w:tcBorders>
                  <w:shd w:val="clear" w:color="auto" w:fill="E9EFEC"/>
                </w:tcPr>
                <w:p w:rsidR="0053397E" w:rsidRPr="002134AB" w:rsidRDefault="0053397E" w:rsidP="0053397E">
                  <w:pPr>
                    <w:spacing w:line="240" w:lineRule="auto"/>
                    <w:rPr>
                      <w:rFonts w:asciiTheme="minorHAnsi" w:hAnsiTheme="minorHAnsi"/>
                      <w:b/>
                      <w:sz w:val="16"/>
                      <w:szCs w:val="16"/>
                    </w:rPr>
                  </w:pPr>
                  <w:r w:rsidRPr="002134AB">
                    <w:rPr>
                      <w:rFonts w:asciiTheme="minorHAnsi" w:hAnsiTheme="minorHAnsi"/>
                      <w:b/>
                      <w:sz w:val="16"/>
                      <w:szCs w:val="16"/>
                    </w:rPr>
                    <w:t>Figur</w:t>
                  </w:r>
                  <w:r w:rsidR="00FE0D75">
                    <w:rPr>
                      <w:rFonts w:asciiTheme="minorHAnsi" w:hAnsiTheme="minorHAnsi"/>
                      <w:b/>
                      <w:sz w:val="16"/>
                      <w:szCs w:val="16"/>
                    </w:rPr>
                    <w:t xml:space="preserve"> 3.6</w:t>
                  </w:r>
                  <w:r w:rsidRPr="002134AB">
                    <w:rPr>
                      <w:rFonts w:asciiTheme="minorHAnsi" w:hAnsiTheme="minorHAnsi"/>
                      <w:b/>
                      <w:sz w:val="16"/>
                      <w:szCs w:val="16"/>
                    </w:rPr>
                    <w:br/>
                  </w:r>
                  <w:r w:rsidRPr="002134AB">
                    <w:rPr>
                      <w:rFonts w:asciiTheme="minorHAnsi" w:hAnsiTheme="minorHAnsi"/>
                      <w:b/>
                      <w:color w:val="000000"/>
                      <w:sz w:val="16"/>
                      <w:szCs w:val="16"/>
                    </w:rPr>
                    <w:t>Andel akutte genindlæggelser (genindlæggelsesfrekvens),  fordelt efter alder, 2014</w:t>
                  </w:r>
                </w:p>
              </w:tc>
              <w:tc>
                <w:tcPr>
                  <w:tcW w:w="3544" w:type="dxa"/>
                  <w:tcBorders>
                    <w:top w:val="single" w:sz="12" w:space="0" w:color="auto"/>
                    <w:left w:val="nil"/>
                    <w:bottom w:val="single" w:sz="4" w:space="0" w:color="auto"/>
                    <w:right w:val="nil"/>
                  </w:tcBorders>
                  <w:shd w:val="clear" w:color="auto" w:fill="E9EFEC"/>
                  <w:hideMark/>
                </w:tcPr>
                <w:p w:rsidR="0053397E" w:rsidRPr="002134AB" w:rsidRDefault="0053397E" w:rsidP="0053397E">
                  <w:pPr>
                    <w:spacing w:line="240" w:lineRule="auto"/>
                    <w:rPr>
                      <w:rFonts w:asciiTheme="minorHAnsi" w:hAnsiTheme="minorHAnsi"/>
                      <w:b/>
                      <w:color w:val="000000"/>
                      <w:sz w:val="16"/>
                      <w:szCs w:val="16"/>
                    </w:rPr>
                  </w:pPr>
                  <w:r w:rsidRPr="002134AB">
                    <w:rPr>
                      <w:rFonts w:asciiTheme="minorHAnsi" w:hAnsiTheme="minorHAnsi"/>
                      <w:b/>
                      <w:sz w:val="16"/>
                      <w:szCs w:val="16"/>
                    </w:rPr>
                    <w:t>Figur</w:t>
                  </w:r>
                  <w:r w:rsidR="00FE0D75">
                    <w:rPr>
                      <w:rFonts w:asciiTheme="minorHAnsi" w:hAnsiTheme="minorHAnsi"/>
                      <w:b/>
                      <w:sz w:val="16"/>
                      <w:szCs w:val="16"/>
                    </w:rPr>
                    <w:t xml:space="preserve"> 3.7</w:t>
                  </w:r>
                  <w:r w:rsidRPr="002134AB">
                    <w:rPr>
                      <w:rFonts w:asciiTheme="minorHAnsi" w:hAnsiTheme="minorHAnsi"/>
                      <w:b/>
                      <w:sz w:val="16"/>
                      <w:szCs w:val="16"/>
                    </w:rPr>
                    <w:br/>
                  </w:r>
                  <w:r w:rsidRPr="002134AB">
                    <w:rPr>
                      <w:rFonts w:asciiTheme="minorHAnsi" w:hAnsiTheme="minorHAnsi"/>
                      <w:b/>
                      <w:color w:val="000000"/>
                      <w:sz w:val="16"/>
                      <w:szCs w:val="16"/>
                    </w:rPr>
                    <w:t>Antal forebyggelige indlæggelser blandt ældre (65+) fordelt efter alder(65+), 2014</w:t>
                  </w:r>
                </w:p>
              </w:tc>
            </w:tr>
            <w:tr w:rsidR="0053397E" w:rsidRPr="008613E8" w:rsidTr="00B30869">
              <w:tblPrEx>
                <w:tblCellMar>
                  <w:left w:w="70" w:type="dxa"/>
                  <w:right w:w="70" w:type="dxa"/>
                </w:tblCellMar>
              </w:tblPrEx>
              <w:trPr>
                <w:trHeight w:val="2784"/>
              </w:trPr>
              <w:tc>
                <w:tcPr>
                  <w:tcW w:w="3686" w:type="dxa"/>
                  <w:tcBorders>
                    <w:top w:val="single" w:sz="4" w:space="0" w:color="auto"/>
                    <w:left w:val="nil"/>
                    <w:bottom w:val="single" w:sz="4" w:space="0" w:color="auto"/>
                    <w:right w:val="single" w:sz="8" w:space="0" w:color="auto"/>
                  </w:tcBorders>
                  <w:shd w:val="clear" w:color="auto" w:fill="E9EFEC"/>
                </w:tcPr>
                <w:p w:rsidR="0053397E" w:rsidRPr="008613E8" w:rsidRDefault="0053397E" w:rsidP="0053397E">
                  <w:pPr>
                    <w:spacing w:line="240" w:lineRule="auto"/>
                    <w:jc w:val="center"/>
                    <w:rPr>
                      <w:rFonts w:asciiTheme="minorHAnsi" w:hAnsiTheme="minorHAnsi"/>
                      <w:sz w:val="14"/>
                      <w:szCs w:val="14"/>
                    </w:rPr>
                  </w:pPr>
                  <w:r>
                    <w:rPr>
                      <w:noProof/>
                    </w:rPr>
                    <w:drawing>
                      <wp:inline distT="0" distB="0" distL="0" distR="0" wp14:anchorId="50CE3FE7" wp14:editId="137665D9">
                        <wp:extent cx="2199736" cy="1673524"/>
                        <wp:effectExtent l="0" t="0" r="0"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544" w:type="dxa"/>
                  <w:tcBorders>
                    <w:top w:val="single" w:sz="4" w:space="0" w:color="auto"/>
                    <w:left w:val="nil"/>
                    <w:bottom w:val="single" w:sz="4" w:space="0" w:color="auto"/>
                    <w:right w:val="nil"/>
                  </w:tcBorders>
                  <w:shd w:val="clear" w:color="auto" w:fill="E9EFEC"/>
                </w:tcPr>
                <w:p w:rsidR="0053397E" w:rsidRPr="008613E8" w:rsidRDefault="0053397E" w:rsidP="0053397E">
                  <w:pPr>
                    <w:spacing w:line="240" w:lineRule="auto"/>
                    <w:jc w:val="center"/>
                    <w:rPr>
                      <w:rFonts w:asciiTheme="minorHAnsi" w:hAnsiTheme="minorHAnsi"/>
                      <w:sz w:val="14"/>
                      <w:szCs w:val="14"/>
                    </w:rPr>
                  </w:pPr>
                  <w:r>
                    <w:rPr>
                      <w:noProof/>
                    </w:rPr>
                    <w:drawing>
                      <wp:inline distT="0" distB="0" distL="0" distR="0" wp14:anchorId="402E0302" wp14:editId="40364103">
                        <wp:extent cx="2044700" cy="1752600"/>
                        <wp:effectExtent l="0" t="0" r="0" b="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3397E" w:rsidRPr="008613E8" w:rsidTr="00B30869">
              <w:trPr>
                <w:trHeight w:val="174"/>
              </w:trPr>
              <w:tc>
                <w:tcPr>
                  <w:tcW w:w="3686" w:type="dxa"/>
                  <w:tcBorders>
                    <w:top w:val="single" w:sz="4" w:space="0" w:color="auto"/>
                    <w:left w:val="nil"/>
                    <w:bottom w:val="single" w:sz="12" w:space="0" w:color="auto"/>
                    <w:right w:val="single" w:sz="8" w:space="0" w:color="auto"/>
                  </w:tcBorders>
                  <w:shd w:val="clear" w:color="auto" w:fill="E9EFEC"/>
                </w:tcPr>
                <w:p w:rsidR="0053397E" w:rsidRPr="008613E8" w:rsidRDefault="0053397E" w:rsidP="0053397E">
                  <w:pPr>
                    <w:spacing w:line="240" w:lineRule="auto"/>
                    <w:jc w:val="both"/>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c>
                <w:tcPr>
                  <w:tcW w:w="3544" w:type="dxa"/>
                  <w:tcBorders>
                    <w:top w:val="single" w:sz="4" w:space="0" w:color="auto"/>
                    <w:left w:val="nil"/>
                    <w:bottom w:val="single" w:sz="12" w:space="0" w:color="auto"/>
                    <w:right w:val="nil"/>
                  </w:tcBorders>
                  <w:shd w:val="clear" w:color="auto" w:fill="E9EFEC"/>
                </w:tcPr>
                <w:p w:rsidR="0053397E" w:rsidRPr="008613E8" w:rsidRDefault="0053397E" w:rsidP="0053397E">
                  <w:pPr>
                    <w:spacing w:line="240" w:lineRule="auto"/>
                    <w:jc w:val="both"/>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r>
          </w:tbl>
          <w:p w:rsidR="0053397E" w:rsidRDefault="0053397E" w:rsidP="0053397E">
            <w:pPr>
              <w:spacing w:line="240" w:lineRule="auto"/>
              <w:jc w:val="both"/>
              <w:rPr>
                <w:rFonts w:ascii="Garamond" w:hAnsi="Garamond"/>
                <w:sz w:val="24"/>
                <w:szCs w:val="24"/>
              </w:rPr>
            </w:pPr>
          </w:p>
          <w:p w:rsidR="0053397E" w:rsidRPr="00B30869" w:rsidRDefault="0053397E" w:rsidP="0053397E">
            <w:pPr>
              <w:jc w:val="both"/>
              <w:rPr>
                <w:rFonts w:asciiTheme="minorHAnsi" w:hAnsiTheme="minorHAnsi"/>
                <w:i/>
                <w:sz w:val="16"/>
                <w:szCs w:val="16"/>
              </w:rPr>
            </w:pPr>
            <w:r w:rsidRPr="00B30869">
              <w:rPr>
                <w:rFonts w:asciiTheme="minorHAnsi" w:hAnsiTheme="minorHAnsi"/>
                <w:sz w:val="16"/>
                <w:szCs w:val="16"/>
              </w:rPr>
              <w:t xml:space="preserve">Kommunerne har i forvejen fokus på og en tæt </w:t>
            </w:r>
            <w:r w:rsidRPr="00286901">
              <w:rPr>
                <w:rFonts w:asciiTheme="minorHAnsi" w:hAnsiTheme="minorHAnsi"/>
                <w:sz w:val="16"/>
                <w:szCs w:val="16"/>
              </w:rPr>
              <w:t xml:space="preserve">kontakt med småbørn og ældre brogere, og har derved </w:t>
            </w:r>
            <w:r w:rsidR="0011669B" w:rsidRPr="00286901">
              <w:rPr>
                <w:rFonts w:asciiTheme="minorHAnsi" w:hAnsiTheme="minorHAnsi"/>
                <w:sz w:val="16"/>
                <w:szCs w:val="16"/>
              </w:rPr>
              <w:t>direkte</w:t>
            </w:r>
            <w:r w:rsidRPr="00286901">
              <w:rPr>
                <w:rFonts w:asciiTheme="minorHAnsi" w:hAnsiTheme="minorHAnsi"/>
                <w:sz w:val="16"/>
                <w:szCs w:val="16"/>
              </w:rPr>
              <w:t xml:space="preserve"> påvirkningsmulighed ift. adfærd og vilkår (fx via</w:t>
            </w:r>
            <w:r w:rsidRPr="00B30869">
              <w:rPr>
                <w:rFonts w:asciiTheme="minorHAnsi" w:hAnsiTheme="minorHAnsi"/>
                <w:sz w:val="16"/>
                <w:szCs w:val="16"/>
              </w:rPr>
              <w:t xml:space="preserve"> plejeindsatsen, sundhedsplejersken mv.). Fx havde kommunerne kontakt til knap 5 ud 10 borgere på 80+år i 2014 og i 8 ud 10 akutte indlæggelser(borger på 80+ år) havde kommunen kontakt med borgeren, </w:t>
            </w:r>
            <w:r w:rsidRPr="00B30869">
              <w:rPr>
                <w:rFonts w:asciiTheme="minorHAnsi" w:hAnsiTheme="minorHAnsi"/>
                <w:i/>
                <w:sz w:val="16"/>
                <w:szCs w:val="16"/>
              </w:rPr>
              <w:t>jf. figur 3.</w:t>
            </w:r>
            <w:r w:rsidR="00FE0D75" w:rsidRPr="00FE0D75">
              <w:rPr>
                <w:rFonts w:asciiTheme="minorHAnsi" w:hAnsiTheme="minorHAnsi"/>
                <w:i/>
                <w:sz w:val="16"/>
                <w:szCs w:val="16"/>
              </w:rPr>
              <w:t xml:space="preserve">8 </w:t>
            </w:r>
            <w:r w:rsidRPr="00B30869">
              <w:rPr>
                <w:rFonts w:asciiTheme="minorHAnsi" w:hAnsiTheme="minorHAnsi"/>
                <w:i/>
                <w:sz w:val="16"/>
                <w:szCs w:val="16"/>
              </w:rPr>
              <w:t>og 3.</w:t>
            </w:r>
            <w:r w:rsidR="00FE0D75">
              <w:rPr>
                <w:rFonts w:asciiTheme="minorHAnsi" w:hAnsiTheme="minorHAnsi"/>
                <w:i/>
                <w:sz w:val="16"/>
                <w:szCs w:val="16"/>
              </w:rPr>
              <w:t>9</w:t>
            </w:r>
            <w:r w:rsidRPr="00B30869">
              <w:rPr>
                <w:rFonts w:asciiTheme="minorHAnsi" w:hAnsiTheme="minorHAnsi"/>
                <w:i/>
                <w:sz w:val="16"/>
                <w:szCs w:val="16"/>
              </w:rPr>
              <w:t xml:space="preserve">. </w:t>
            </w:r>
          </w:p>
          <w:p w:rsidR="0053397E" w:rsidRDefault="0053397E" w:rsidP="0053397E">
            <w:pPr>
              <w:jc w:val="both"/>
              <w:rPr>
                <w:rFonts w:ascii="Garamond" w:hAnsi="Garamond"/>
                <w:sz w:val="24"/>
                <w:szCs w:val="24"/>
              </w:rPr>
            </w:pPr>
          </w:p>
          <w:tbl>
            <w:tblPr>
              <w:tblStyle w:val="Tabel-Gitter"/>
              <w:tblW w:w="7256" w:type="dxa"/>
              <w:tblBorders>
                <w:top w:val="single" w:sz="12" w:space="0" w:color="auto"/>
                <w:left w:val="none" w:sz="0" w:space="0" w:color="auto"/>
                <w:bottom w:val="single" w:sz="12" w:space="0" w:color="auto"/>
                <w:right w:val="none" w:sz="0" w:space="0" w:color="auto"/>
                <w:insideV w:val="single" w:sz="8" w:space="0" w:color="auto"/>
              </w:tblBorders>
              <w:shd w:val="clear" w:color="auto" w:fill="E9EFEC"/>
              <w:tblLayout w:type="fixed"/>
              <w:tblLook w:val="04A0" w:firstRow="1" w:lastRow="0" w:firstColumn="1" w:lastColumn="0" w:noHBand="0" w:noVBand="1"/>
            </w:tblPr>
            <w:tblGrid>
              <w:gridCol w:w="3628"/>
              <w:gridCol w:w="3628"/>
            </w:tblGrid>
            <w:tr w:rsidR="0053397E" w:rsidRPr="00224F06" w:rsidTr="00B30869">
              <w:trPr>
                <w:trHeight w:val="548"/>
              </w:trPr>
              <w:tc>
                <w:tcPr>
                  <w:tcW w:w="3628" w:type="dxa"/>
                  <w:shd w:val="clear" w:color="auto" w:fill="E9EFEC"/>
                  <w:vAlign w:val="center"/>
                </w:tcPr>
                <w:p w:rsidR="0053397E" w:rsidRPr="0026234E" w:rsidRDefault="0053397E" w:rsidP="009B0668">
                  <w:pPr>
                    <w:framePr w:hSpace="141" w:wrap="around" w:vAnchor="text" w:hAnchor="margin" w:x="108" w:y="-41"/>
                    <w:spacing w:line="240" w:lineRule="auto"/>
                    <w:rPr>
                      <w:rFonts w:asciiTheme="minorHAnsi" w:hAnsiTheme="minorHAnsi"/>
                      <w:b/>
                      <w:sz w:val="16"/>
                      <w:szCs w:val="16"/>
                    </w:rPr>
                  </w:pPr>
                  <w:r w:rsidRPr="0026234E">
                    <w:rPr>
                      <w:rFonts w:asciiTheme="minorHAnsi" w:hAnsiTheme="minorHAnsi"/>
                      <w:b/>
                      <w:sz w:val="16"/>
                      <w:szCs w:val="16"/>
                    </w:rPr>
                    <w:t>Figur</w:t>
                  </w:r>
                  <w:r w:rsidR="00FE0D75">
                    <w:rPr>
                      <w:rFonts w:asciiTheme="minorHAnsi" w:hAnsiTheme="minorHAnsi"/>
                      <w:b/>
                      <w:sz w:val="16"/>
                      <w:szCs w:val="16"/>
                    </w:rPr>
                    <w:t xml:space="preserve"> 3.8</w:t>
                  </w:r>
                  <w:r w:rsidRPr="0026234E">
                    <w:rPr>
                      <w:rFonts w:asciiTheme="minorHAnsi" w:hAnsiTheme="minorHAnsi"/>
                      <w:b/>
                      <w:sz w:val="16"/>
                      <w:szCs w:val="16"/>
                    </w:rPr>
                    <w:br/>
                  </w:r>
                  <w:r w:rsidRPr="0026234E">
                    <w:rPr>
                      <w:rFonts w:asciiTheme="minorHAnsi" w:hAnsiTheme="minorHAnsi"/>
                      <w:b/>
                      <w:color w:val="000000"/>
                      <w:sz w:val="16"/>
                      <w:szCs w:val="16"/>
                    </w:rPr>
                    <w:t>Andelen af borgere i kontakt med kommunen, fordelt på 65+ og 80+, 2014</w:t>
                  </w:r>
                </w:p>
              </w:tc>
              <w:tc>
                <w:tcPr>
                  <w:tcW w:w="3628" w:type="dxa"/>
                  <w:shd w:val="clear" w:color="auto" w:fill="E9EFEC"/>
                  <w:vAlign w:val="center"/>
                  <w:hideMark/>
                </w:tcPr>
                <w:p w:rsidR="0053397E" w:rsidRPr="00224F06" w:rsidRDefault="0053397E" w:rsidP="009B0668">
                  <w:pPr>
                    <w:framePr w:hSpace="141" w:wrap="around" w:vAnchor="text" w:hAnchor="margin" w:x="108" w:y="-41"/>
                    <w:spacing w:line="240" w:lineRule="auto"/>
                    <w:rPr>
                      <w:rFonts w:asciiTheme="minorHAnsi" w:hAnsiTheme="minorHAnsi"/>
                      <w:b/>
                      <w:color w:val="000000"/>
                      <w:sz w:val="16"/>
                      <w:szCs w:val="16"/>
                    </w:rPr>
                  </w:pPr>
                  <w:r w:rsidRPr="0026234E">
                    <w:rPr>
                      <w:rFonts w:asciiTheme="minorHAnsi" w:hAnsiTheme="minorHAnsi"/>
                      <w:b/>
                      <w:sz w:val="16"/>
                      <w:szCs w:val="16"/>
                    </w:rPr>
                    <w:t>Figur 3.</w:t>
                  </w:r>
                  <w:r w:rsidR="00FE0D75">
                    <w:rPr>
                      <w:rFonts w:asciiTheme="minorHAnsi" w:hAnsiTheme="minorHAnsi"/>
                      <w:b/>
                      <w:sz w:val="16"/>
                      <w:szCs w:val="16"/>
                    </w:rPr>
                    <w:t>9</w:t>
                  </w:r>
                  <w:r w:rsidRPr="0026234E">
                    <w:rPr>
                      <w:rFonts w:asciiTheme="minorHAnsi" w:hAnsiTheme="minorHAnsi"/>
                      <w:b/>
                      <w:sz w:val="16"/>
                      <w:szCs w:val="16"/>
                    </w:rPr>
                    <w:br/>
                  </w:r>
                  <w:r w:rsidRPr="0026234E">
                    <w:rPr>
                      <w:rFonts w:asciiTheme="minorHAnsi" w:hAnsiTheme="minorHAnsi"/>
                      <w:b/>
                      <w:color w:val="000000"/>
                      <w:sz w:val="16"/>
                      <w:szCs w:val="16"/>
                    </w:rPr>
                    <w:t>Andelen af akutte indlæggelser med kontakt til kommunen, fordelt på 65+ og 80+, 2014</w:t>
                  </w:r>
                </w:p>
              </w:tc>
            </w:tr>
            <w:tr w:rsidR="0053397E" w:rsidRPr="008613E8" w:rsidTr="00B30869">
              <w:tblPrEx>
                <w:tblCellMar>
                  <w:left w:w="70" w:type="dxa"/>
                  <w:right w:w="70" w:type="dxa"/>
                </w:tblCellMar>
              </w:tblPrEx>
              <w:trPr>
                <w:trHeight w:val="2784"/>
              </w:trPr>
              <w:tc>
                <w:tcPr>
                  <w:tcW w:w="3628" w:type="dxa"/>
                  <w:shd w:val="clear" w:color="auto" w:fill="E9EFEC"/>
                  <w:vAlign w:val="center"/>
                </w:tcPr>
                <w:p w:rsidR="0053397E" w:rsidRPr="008613E8" w:rsidRDefault="0053397E" w:rsidP="009B0668">
                  <w:pPr>
                    <w:framePr w:hSpace="141" w:wrap="around" w:vAnchor="text" w:hAnchor="margin" w:x="108" w:y="-41"/>
                    <w:spacing w:line="240" w:lineRule="auto"/>
                    <w:rPr>
                      <w:rFonts w:asciiTheme="minorHAnsi" w:hAnsiTheme="minorHAnsi"/>
                      <w:sz w:val="14"/>
                      <w:szCs w:val="14"/>
                    </w:rPr>
                  </w:pPr>
                  <w:r>
                    <w:rPr>
                      <w:noProof/>
                    </w:rPr>
                    <w:drawing>
                      <wp:inline distT="0" distB="0" distL="0" distR="0" wp14:anchorId="7C68EF65" wp14:editId="60B4F7B1">
                        <wp:extent cx="2199736" cy="1751163"/>
                        <wp:effectExtent l="0" t="0" r="0" b="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628" w:type="dxa"/>
                  <w:shd w:val="clear" w:color="auto" w:fill="E9EFEC"/>
                  <w:vAlign w:val="center"/>
                </w:tcPr>
                <w:p w:rsidR="0053397E" w:rsidRPr="008613E8" w:rsidRDefault="0053397E" w:rsidP="009B0668">
                  <w:pPr>
                    <w:framePr w:hSpace="141" w:wrap="around" w:vAnchor="text" w:hAnchor="margin" w:x="108" w:y="-41"/>
                    <w:spacing w:line="240" w:lineRule="auto"/>
                    <w:rPr>
                      <w:rFonts w:asciiTheme="minorHAnsi" w:hAnsiTheme="minorHAnsi"/>
                      <w:sz w:val="14"/>
                      <w:szCs w:val="14"/>
                    </w:rPr>
                  </w:pPr>
                  <w:r>
                    <w:rPr>
                      <w:noProof/>
                    </w:rPr>
                    <w:drawing>
                      <wp:inline distT="0" distB="0" distL="0" distR="0" wp14:anchorId="198F20D6" wp14:editId="22EB7BEC">
                        <wp:extent cx="2260121" cy="1751163"/>
                        <wp:effectExtent l="0" t="0" r="6985"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3397E" w:rsidRPr="008613E8" w:rsidTr="00B30869">
              <w:trPr>
                <w:trHeight w:val="174"/>
              </w:trPr>
              <w:tc>
                <w:tcPr>
                  <w:tcW w:w="3628" w:type="dxa"/>
                  <w:shd w:val="clear" w:color="auto" w:fill="E9EFEC"/>
                  <w:vAlign w:val="center"/>
                </w:tcPr>
                <w:p w:rsidR="0053397E" w:rsidRPr="008613E8" w:rsidRDefault="0053397E" w:rsidP="009B0668">
                  <w:pPr>
                    <w:framePr w:hSpace="141" w:wrap="around" w:vAnchor="text" w:hAnchor="margin" w:x="108" w:y="-41"/>
                    <w:spacing w:line="240" w:lineRule="auto"/>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c>
                <w:tcPr>
                  <w:tcW w:w="3628" w:type="dxa"/>
                  <w:shd w:val="clear" w:color="auto" w:fill="E9EFEC"/>
                  <w:vAlign w:val="center"/>
                </w:tcPr>
                <w:p w:rsidR="0053397E" w:rsidRPr="008613E8" w:rsidRDefault="0053397E" w:rsidP="009B0668">
                  <w:pPr>
                    <w:framePr w:hSpace="141" w:wrap="around" w:vAnchor="text" w:hAnchor="margin" w:x="108" w:y="-41"/>
                    <w:spacing w:line="240" w:lineRule="auto"/>
                    <w:rPr>
                      <w:rFonts w:asciiTheme="minorHAnsi" w:hAnsiTheme="minorHAnsi"/>
                      <w:sz w:val="14"/>
                      <w:szCs w:val="14"/>
                    </w:rPr>
                  </w:pPr>
                  <w:r w:rsidRPr="008613E8">
                    <w:rPr>
                      <w:rFonts w:asciiTheme="minorHAnsi" w:hAnsiTheme="minorHAnsi"/>
                      <w:sz w:val="14"/>
                      <w:szCs w:val="14"/>
                    </w:rPr>
                    <w:t xml:space="preserve">Kilde: </w:t>
                  </w:r>
                  <w:r>
                    <w:rPr>
                      <w:rFonts w:asciiTheme="minorHAnsi" w:hAnsiTheme="minorHAnsi"/>
                      <w:sz w:val="14"/>
                      <w:szCs w:val="14"/>
                    </w:rPr>
                    <w:t>Sundhedsdatastyrelsen</w:t>
                  </w:r>
                </w:p>
              </w:tc>
            </w:tr>
          </w:tbl>
          <w:p w:rsidR="0053397E" w:rsidRPr="004524AC" w:rsidRDefault="0053397E" w:rsidP="0053397E">
            <w:pPr>
              <w:spacing w:line="276" w:lineRule="auto"/>
              <w:jc w:val="both"/>
              <w:rPr>
                <w:rFonts w:ascii="Garamond" w:hAnsi="Garamond"/>
                <w:sz w:val="24"/>
                <w:szCs w:val="24"/>
              </w:rPr>
            </w:pPr>
          </w:p>
        </w:tc>
      </w:tr>
    </w:tbl>
    <w:p w:rsidR="0053397E" w:rsidRPr="00AD5EAA" w:rsidRDefault="0053397E" w:rsidP="006A547E">
      <w:pPr>
        <w:spacing w:after="0"/>
        <w:jc w:val="both"/>
        <w:rPr>
          <w:rFonts w:ascii="Garamond" w:hAnsi="Garamond"/>
          <w:sz w:val="24"/>
          <w:szCs w:val="24"/>
        </w:rPr>
      </w:pPr>
    </w:p>
    <w:p w:rsidR="00286901" w:rsidRDefault="007D0FEF" w:rsidP="00B30869">
      <w:pPr>
        <w:spacing w:after="0"/>
        <w:jc w:val="both"/>
        <w:rPr>
          <w:rFonts w:ascii="Garamond" w:hAnsi="Garamond"/>
          <w:i/>
          <w:sz w:val="24"/>
          <w:szCs w:val="24"/>
        </w:rPr>
      </w:pPr>
      <w:r>
        <w:rPr>
          <w:rFonts w:ascii="Garamond" w:hAnsi="Garamond"/>
          <w:sz w:val="24"/>
          <w:szCs w:val="24"/>
        </w:rPr>
        <w:t xml:space="preserve">Med sigtet om at målrette KMF ift. ældre og småbørn, </w:t>
      </w:r>
      <w:r w:rsidR="002923BA">
        <w:rPr>
          <w:rFonts w:ascii="Garamond" w:hAnsi="Garamond"/>
          <w:sz w:val="24"/>
          <w:szCs w:val="24"/>
        </w:rPr>
        <w:t xml:space="preserve">har </w:t>
      </w:r>
      <w:r w:rsidR="002923BA" w:rsidRPr="004524AC">
        <w:rPr>
          <w:rFonts w:ascii="Garamond" w:hAnsi="Garamond"/>
          <w:sz w:val="24"/>
          <w:szCs w:val="24"/>
        </w:rPr>
        <w:t xml:space="preserve">KL og staten set på </w:t>
      </w:r>
      <w:r w:rsidR="002923BA" w:rsidRPr="008A5FF3">
        <w:rPr>
          <w:rFonts w:ascii="Garamond" w:hAnsi="Garamond"/>
          <w:sz w:val="24"/>
          <w:szCs w:val="24"/>
        </w:rPr>
        <w:t>forskellige aldersdifferentieringer(modeller), hvor pct.sats og lofter varierer</w:t>
      </w:r>
      <w:r w:rsidR="00B510DA">
        <w:rPr>
          <w:rFonts w:ascii="Garamond" w:hAnsi="Garamond"/>
          <w:sz w:val="24"/>
          <w:szCs w:val="24"/>
        </w:rPr>
        <w:t xml:space="preserve">, </w:t>
      </w:r>
      <w:r w:rsidR="00B510DA" w:rsidRPr="00F21D96">
        <w:rPr>
          <w:rFonts w:ascii="Garamond" w:hAnsi="Garamond"/>
          <w:i/>
          <w:sz w:val="24"/>
          <w:szCs w:val="24"/>
        </w:rPr>
        <w:t>jf. boks 3.10.</w:t>
      </w:r>
    </w:p>
    <w:p w:rsidR="00286901" w:rsidRDefault="00286901">
      <w:pPr>
        <w:rPr>
          <w:rFonts w:ascii="Garamond" w:hAnsi="Garamond"/>
          <w:i/>
          <w:sz w:val="24"/>
          <w:szCs w:val="24"/>
        </w:rPr>
      </w:pPr>
      <w:r>
        <w:rPr>
          <w:rFonts w:ascii="Garamond" w:hAnsi="Garamond"/>
          <w:i/>
          <w:sz w:val="24"/>
          <w:szCs w:val="24"/>
        </w:rPr>
        <w:br w:type="page"/>
      </w:r>
    </w:p>
    <w:p w:rsidR="00BC175A" w:rsidRDefault="00BC175A" w:rsidP="00B30869">
      <w:pPr>
        <w:spacing w:after="0"/>
        <w:jc w:val="both"/>
        <w:rPr>
          <w:rFonts w:ascii="Garamond" w:hAnsi="Garamond"/>
          <w:sz w:val="24"/>
          <w:szCs w:val="24"/>
        </w:rPr>
      </w:pPr>
    </w:p>
    <w:tbl>
      <w:tblPr>
        <w:tblStyle w:val="Tabel-Gitter"/>
        <w:tblpPr w:leftFromText="141" w:rightFromText="141" w:vertAnchor="text" w:horzAnchor="margin" w:tblpX="108" w:tblpY="-41"/>
        <w:tblW w:w="7479"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479"/>
      </w:tblGrid>
      <w:tr w:rsidR="00BC175A" w:rsidRPr="004524AC" w:rsidTr="004346C2">
        <w:tc>
          <w:tcPr>
            <w:tcW w:w="7479" w:type="dxa"/>
            <w:shd w:val="clear" w:color="auto" w:fill="E9EFEC"/>
            <w:hideMark/>
          </w:tcPr>
          <w:p w:rsidR="00BC175A" w:rsidRPr="00B30869" w:rsidRDefault="00BC175A" w:rsidP="004346C2">
            <w:pPr>
              <w:spacing w:line="276" w:lineRule="auto"/>
              <w:rPr>
                <w:rFonts w:ascii="Garamond" w:hAnsi="Garamond"/>
                <w:b/>
                <w:sz w:val="16"/>
                <w:szCs w:val="16"/>
              </w:rPr>
            </w:pPr>
            <w:r w:rsidRPr="00B30869">
              <w:rPr>
                <w:rFonts w:ascii="Garamond" w:hAnsi="Garamond"/>
                <w:b/>
                <w:sz w:val="16"/>
                <w:szCs w:val="16"/>
              </w:rPr>
              <w:t>Boks 3.</w:t>
            </w:r>
            <w:r w:rsidR="00B510DA">
              <w:rPr>
                <w:rFonts w:ascii="Garamond" w:hAnsi="Garamond"/>
                <w:b/>
                <w:sz w:val="16"/>
                <w:szCs w:val="16"/>
              </w:rPr>
              <w:t>10</w:t>
            </w:r>
            <w:r w:rsidRPr="00B30869">
              <w:rPr>
                <w:rFonts w:ascii="Garamond" w:hAnsi="Garamond"/>
                <w:b/>
                <w:sz w:val="16"/>
                <w:szCs w:val="16"/>
              </w:rPr>
              <w:br/>
            </w:r>
            <w:r>
              <w:rPr>
                <w:rFonts w:ascii="Garamond" w:hAnsi="Garamond"/>
                <w:b/>
                <w:sz w:val="16"/>
                <w:szCs w:val="16"/>
              </w:rPr>
              <w:t>Forskellige differentieringsmodeller</w:t>
            </w:r>
          </w:p>
          <w:p w:rsidR="00BC175A" w:rsidRPr="00F21D96" w:rsidRDefault="00BC175A" w:rsidP="004346C2">
            <w:pPr>
              <w:jc w:val="both"/>
              <w:rPr>
                <w:rFonts w:asciiTheme="minorHAnsi" w:hAnsiTheme="minorHAnsi"/>
                <w:sz w:val="16"/>
                <w:szCs w:val="16"/>
              </w:rPr>
            </w:pPr>
          </w:p>
          <w:p w:rsidR="0045317C" w:rsidRDefault="00B510DA" w:rsidP="004346C2">
            <w:pPr>
              <w:jc w:val="both"/>
              <w:rPr>
                <w:rFonts w:asciiTheme="minorHAnsi" w:hAnsiTheme="minorHAnsi"/>
                <w:sz w:val="16"/>
                <w:szCs w:val="16"/>
              </w:rPr>
            </w:pPr>
            <w:r>
              <w:rPr>
                <w:rFonts w:asciiTheme="minorHAnsi" w:hAnsiTheme="minorHAnsi"/>
                <w:sz w:val="16"/>
                <w:szCs w:val="16"/>
              </w:rPr>
              <w:t xml:space="preserve">I </w:t>
            </w:r>
            <w:r w:rsidR="00C12E08">
              <w:rPr>
                <w:rFonts w:asciiTheme="minorHAnsi" w:hAnsiTheme="minorHAnsi"/>
                <w:sz w:val="16"/>
                <w:szCs w:val="16"/>
              </w:rPr>
              <w:t xml:space="preserve">de opstillede </w:t>
            </w:r>
            <w:r w:rsidR="0045317C">
              <w:rPr>
                <w:rFonts w:asciiTheme="minorHAnsi" w:hAnsiTheme="minorHAnsi"/>
                <w:sz w:val="16"/>
                <w:szCs w:val="16"/>
              </w:rPr>
              <w:t>modeller</w:t>
            </w:r>
            <w:r>
              <w:rPr>
                <w:rFonts w:asciiTheme="minorHAnsi" w:hAnsiTheme="minorHAnsi"/>
                <w:sz w:val="16"/>
                <w:szCs w:val="16"/>
              </w:rPr>
              <w:t xml:space="preserve"> differentieres der ift. fire</w:t>
            </w:r>
            <w:r w:rsidR="00BC175A">
              <w:rPr>
                <w:rFonts w:asciiTheme="minorHAnsi" w:hAnsiTheme="minorHAnsi"/>
                <w:sz w:val="16"/>
                <w:szCs w:val="16"/>
              </w:rPr>
              <w:t xml:space="preserve"> aldersgrupper</w:t>
            </w:r>
            <w:r>
              <w:rPr>
                <w:rFonts w:asciiTheme="minorHAnsi" w:hAnsiTheme="minorHAnsi"/>
                <w:sz w:val="16"/>
                <w:szCs w:val="16"/>
              </w:rPr>
              <w:t xml:space="preserve"> hhv. </w:t>
            </w:r>
            <w:r w:rsidR="00BC175A">
              <w:rPr>
                <w:rFonts w:asciiTheme="minorHAnsi" w:hAnsiTheme="minorHAnsi"/>
                <w:sz w:val="16"/>
                <w:szCs w:val="16"/>
              </w:rPr>
              <w:t>0-2 år, 3-64 år, 65-79 år og 80+</w:t>
            </w:r>
            <w:r w:rsidR="00C12E08">
              <w:rPr>
                <w:rFonts w:asciiTheme="minorHAnsi" w:hAnsiTheme="minorHAnsi"/>
                <w:sz w:val="16"/>
                <w:szCs w:val="16"/>
              </w:rPr>
              <w:t xml:space="preserve"> år</w:t>
            </w:r>
            <w:r w:rsidR="0045317C">
              <w:rPr>
                <w:rFonts w:asciiTheme="minorHAnsi" w:hAnsiTheme="minorHAnsi"/>
                <w:sz w:val="16"/>
                <w:szCs w:val="16"/>
              </w:rPr>
              <w:t>. I de forskellige modeller s</w:t>
            </w:r>
            <w:r w:rsidR="00C12E08">
              <w:rPr>
                <w:rFonts w:asciiTheme="minorHAnsi" w:hAnsiTheme="minorHAnsi"/>
                <w:sz w:val="16"/>
                <w:szCs w:val="16"/>
              </w:rPr>
              <w:t xml:space="preserve">es </w:t>
            </w:r>
            <w:r w:rsidR="0045317C">
              <w:rPr>
                <w:rFonts w:asciiTheme="minorHAnsi" w:hAnsiTheme="minorHAnsi"/>
                <w:sz w:val="16"/>
                <w:szCs w:val="16"/>
              </w:rPr>
              <w:t xml:space="preserve">der </w:t>
            </w:r>
            <w:r w:rsidR="00C12E08">
              <w:rPr>
                <w:rFonts w:asciiTheme="minorHAnsi" w:hAnsiTheme="minorHAnsi"/>
                <w:sz w:val="16"/>
                <w:szCs w:val="16"/>
              </w:rPr>
              <w:t xml:space="preserve">på forskellige </w:t>
            </w:r>
            <w:r>
              <w:rPr>
                <w:rFonts w:asciiTheme="minorHAnsi" w:hAnsiTheme="minorHAnsi"/>
                <w:sz w:val="16"/>
                <w:szCs w:val="16"/>
              </w:rPr>
              <w:t xml:space="preserve">medfinansieringspct. </w:t>
            </w:r>
            <w:r w:rsidR="00C12E08">
              <w:rPr>
                <w:rFonts w:asciiTheme="minorHAnsi" w:hAnsiTheme="minorHAnsi"/>
                <w:sz w:val="16"/>
                <w:szCs w:val="16"/>
              </w:rPr>
              <w:t>og</w:t>
            </w:r>
            <w:r>
              <w:rPr>
                <w:rFonts w:asciiTheme="minorHAnsi" w:hAnsiTheme="minorHAnsi"/>
                <w:sz w:val="16"/>
                <w:szCs w:val="16"/>
              </w:rPr>
              <w:t xml:space="preserve"> maksimal</w:t>
            </w:r>
            <w:r w:rsidR="0045317C">
              <w:rPr>
                <w:rFonts w:asciiTheme="minorHAnsi" w:hAnsiTheme="minorHAnsi"/>
                <w:sz w:val="16"/>
                <w:szCs w:val="16"/>
              </w:rPr>
              <w:t>e</w:t>
            </w:r>
            <w:r w:rsidR="00C12E08">
              <w:rPr>
                <w:rFonts w:asciiTheme="minorHAnsi" w:hAnsiTheme="minorHAnsi"/>
                <w:sz w:val="16"/>
                <w:szCs w:val="16"/>
              </w:rPr>
              <w:t xml:space="preserve"> lofter. </w:t>
            </w:r>
          </w:p>
          <w:p w:rsidR="0045317C" w:rsidRDefault="0045317C" w:rsidP="004346C2">
            <w:pPr>
              <w:jc w:val="both"/>
              <w:rPr>
                <w:rFonts w:asciiTheme="minorHAnsi" w:hAnsiTheme="minorHAnsi"/>
                <w:sz w:val="16"/>
                <w:szCs w:val="16"/>
              </w:rPr>
            </w:pPr>
          </w:p>
          <w:p w:rsidR="00B510DA" w:rsidRDefault="009D0962" w:rsidP="004346C2">
            <w:pPr>
              <w:jc w:val="both"/>
              <w:rPr>
                <w:rFonts w:asciiTheme="minorHAnsi" w:hAnsiTheme="minorHAnsi"/>
                <w:sz w:val="16"/>
                <w:szCs w:val="16"/>
              </w:rPr>
            </w:pPr>
            <w:r>
              <w:rPr>
                <w:rFonts w:asciiTheme="minorHAnsi" w:hAnsiTheme="minorHAnsi"/>
                <w:sz w:val="16"/>
                <w:szCs w:val="16"/>
              </w:rPr>
              <w:t>N</w:t>
            </w:r>
            <w:r w:rsidR="0045317C">
              <w:rPr>
                <w:rFonts w:asciiTheme="minorHAnsi" w:hAnsiTheme="minorHAnsi"/>
                <w:sz w:val="16"/>
                <w:szCs w:val="16"/>
              </w:rPr>
              <w:t xml:space="preserve">edenfor </w:t>
            </w:r>
            <w:r>
              <w:rPr>
                <w:rFonts w:asciiTheme="minorHAnsi" w:hAnsiTheme="minorHAnsi"/>
                <w:sz w:val="16"/>
                <w:szCs w:val="16"/>
              </w:rPr>
              <w:t xml:space="preserve">er </w:t>
            </w:r>
            <w:r w:rsidR="0045317C">
              <w:rPr>
                <w:rFonts w:asciiTheme="minorHAnsi" w:hAnsiTheme="minorHAnsi"/>
                <w:sz w:val="16"/>
                <w:szCs w:val="16"/>
              </w:rPr>
              <w:t xml:space="preserve">vist de </w:t>
            </w:r>
            <w:r>
              <w:rPr>
                <w:rFonts w:asciiTheme="minorHAnsi" w:hAnsiTheme="minorHAnsi"/>
                <w:sz w:val="16"/>
                <w:szCs w:val="16"/>
              </w:rPr>
              <w:t>opstillede</w:t>
            </w:r>
            <w:r w:rsidR="0045317C">
              <w:rPr>
                <w:rFonts w:asciiTheme="minorHAnsi" w:hAnsiTheme="minorHAnsi"/>
                <w:sz w:val="16"/>
                <w:szCs w:val="16"/>
              </w:rPr>
              <w:t xml:space="preserve"> </w:t>
            </w:r>
            <w:r>
              <w:rPr>
                <w:rFonts w:asciiTheme="minorHAnsi" w:hAnsiTheme="minorHAnsi"/>
                <w:sz w:val="16"/>
                <w:szCs w:val="16"/>
              </w:rPr>
              <w:t>differentierings</w:t>
            </w:r>
            <w:r w:rsidR="0045317C">
              <w:rPr>
                <w:rFonts w:asciiTheme="minorHAnsi" w:hAnsiTheme="minorHAnsi"/>
                <w:sz w:val="16"/>
                <w:szCs w:val="16"/>
              </w:rPr>
              <w:t>modeller for sygehusbehandling/speciallæger</w:t>
            </w:r>
            <w:r>
              <w:rPr>
                <w:rFonts w:asciiTheme="minorHAnsi" w:hAnsiTheme="minorHAnsi"/>
                <w:sz w:val="16"/>
                <w:szCs w:val="16"/>
              </w:rPr>
              <w:t>. Fx fremgår det, at der i model 1 ses på</w:t>
            </w:r>
            <w:r w:rsidR="0045317C">
              <w:rPr>
                <w:rFonts w:asciiTheme="minorHAnsi" w:hAnsiTheme="minorHAnsi"/>
                <w:sz w:val="16"/>
                <w:szCs w:val="16"/>
              </w:rPr>
              <w:t>: 41 pct. DRG for 0-2 årige og 65-79 årige, dog max 20.000</w:t>
            </w:r>
            <w:r w:rsidR="00C12E08" w:rsidRPr="00F21D96">
              <w:rPr>
                <w:rFonts w:asciiTheme="minorHAnsi" w:hAnsiTheme="minorHAnsi"/>
                <w:sz w:val="16"/>
                <w:szCs w:val="16"/>
              </w:rPr>
              <w:t xml:space="preserve"> </w:t>
            </w:r>
            <w:r w:rsidR="0045317C">
              <w:rPr>
                <w:rFonts w:asciiTheme="minorHAnsi" w:hAnsiTheme="minorHAnsi"/>
                <w:sz w:val="16"/>
                <w:szCs w:val="16"/>
              </w:rPr>
              <w:t>kr./indl</w:t>
            </w:r>
            <w:r>
              <w:rPr>
                <w:rFonts w:asciiTheme="minorHAnsi" w:hAnsiTheme="minorHAnsi"/>
                <w:sz w:val="16"/>
                <w:szCs w:val="16"/>
              </w:rPr>
              <w:t>æggelse</w:t>
            </w:r>
            <w:r w:rsidR="0045317C">
              <w:rPr>
                <w:rFonts w:asciiTheme="minorHAnsi" w:hAnsiTheme="minorHAnsi"/>
                <w:sz w:val="16"/>
                <w:szCs w:val="16"/>
              </w:rPr>
              <w:t>, 26 pct. DRG for 3-64 årige, dog max 10.000</w:t>
            </w:r>
            <w:r w:rsidR="0045317C" w:rsidRPr="00B54717">
              <w:rPr>
                <w:rFonts w:asciiTheme="minorHAnsi" w:hAnsiTheme="minorHAnsi"/>
                <w:sz w:val="16"/>
                <w:szCs w:val="16"/>
              </w:rPr>
              <w:t xml:space="preserve"> </w:t>
            </w:r>
            <w:r w:rsidR="0045317C">
              <w:rPr>
                <w:rFonts w:asciiTheme="minorHAnsi" w:hAnsiTheme="minorHAnsi"/>
                <w:sz w:val="16"/>
                <w:szCs w:val="16"/>
              </w:rPr>
              <w:t>kr./</w:t>
            </w:r>
            <w:r>
              <w:rPr>
                <w:rFonts w:asciiTheme="minorHAnsi" w:hAnsiTheme="minorHAnsi"/>
                <w:sz w:val="16"/>
                <w:szCs w:val="16"/>
              </w:rPr>
              <w:t xml:space="preserve"> indlæggelse,</w:t>
            </w:r>
            <w:r w:rsidR="0045317C">
              <w:rPr>
                <w:rFonts w:asciiTheme="minorHAnsi" w:hAnsiTheme="minorHAnsi"/>
                <w:sz w:val="16"/>
                <w:szCs w:val="16"/>
              </w:rPr>
              <w:t xml:space="preserve"> og 56 pct. DRG for 80+ årige, dog max 25.000 kr./</w:t>
            </w:r>
            <w:r>
              <w:rPr>
                <w:rFonts w:asciiTheme="minorHAnsi" w:hAnsiTheme="minorHAnsi"/>
                <w:sz w:val="16"/>
                <w:szCs w:val="16"/>
              </w:rPr>
              <w:t xml:space="preserve"> indlæggelse</w:t>
            </w:r>
            <w:r w:rsidR="0045317C">
              <w:rPr>
                <w:rFonts w:asciiTheme="minorHAnsi" w:hAnsiTheme="minorHAnsi"/>
                <w:sz w:val="16"/>
                <w:szCs w:val="16"/>
              </w:rPr>
              <w:t>.</w:t>
            </w:r>
          </w:p>
          <w:p w:rsidR="0045317C" w:rsidRPr="00F21D96" w:rsidRDefault="0045317C" w:rsidP="004346C2">
            <w:pPr>
              <w:jc w:val="both"/>
              <w:rPr>
                <w:rFonts w:asciiTheme="minorHAnsi" w:hAnsiTheme="minorHAnsi"/>
                <w:sz w:val="16"/>
                <w:szCs w:val="16"/>
              </w:rPr>
            </w:pPr>
          </w:p>
          <w:p w:rsidR="00BC175A" w:rsidRPr="00286901" w:rsidRDefault="00B36C8A" w:rsidP="00286901">
            <w:pPr>
              <w:jc w:val="both"/>
              <w:rPr>
                <w:rFonts w:asciiTheme="minorHAnsi" w:hAnsiTheme="minorHAnsi"/>
                <w:sz w:val="16"/>
                <w:szCs w:val="16"/>
              </w:rPr>
            </w:pPr>
            <w:r>
              <w:rPr>
                <w:noProof/>
                <w:sz w:val="16"/>
                <w:szCs w:val="16"/>
              </w:rPr>
              <w:drawing>
                <wp:inline distT="0" distB="0" distL="0" distR="0" wp14:anchorId="7F10B699" wp14:editId="3F3A05B7">
                  <wp:extent cx="4606290" cy="344805"/>
                  <wp:effectExtent l="0" t="0" r="381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290" cy="344805"/>
                          </a:xfrm>
                          <a:prstGeom prst="rect">
                            <a:avLst/>
                          </a:prstGeom>
                          <a:noFill/>
                          <a:ln>
                            <a:noFill/>
                          </a:ln>
                        </pic:spPr>
                      </pic:pic>
                    </a:graphicData>
                  </a:graphic>
                </wp:inline>
              </w:drawing>
            </w:r>
          </w:p>
        </w:tc>
      </w:tr>
    </w:tbl>
    <w:p w:rsidR="00CB7793" w:rsidRDefault="00073C86" w:rsidP="00286901">
      <w:pPr>
        <w:jc w:val="both"/>
        <w:rPr>
          <w:rFonts w:ascii="Garamond" w:hAnsi="Garamond"/>
          <w:sz w:val="24"/>
          <w:szCs w:val="24"/>
        </w:rPr>
      </w:pPr>
      <w:r>
        <w:rPr>
          <w:rFonts w:ascii="Garamond" w:hAnsi="Garamond"/>
          <w:sz w:val="24"/>
          <w:szCs w:val="24"/>
        </w:rPr>
        <w:t>D</w:t>
      </w:r>
      <w:r w:rsidR="007D0FEF" w:rsidRPr="008A5FF3">
        <w:rPr>
          <w:rFonts w:ascii="Garamond" w:hAnsi="Garamond"/>
          <w:sz w:val="24"/>
          <w:szCs w:val="24"/>
        </w:rPr>
        <w:t xml:space="preserve">er </w:t>
      </w:r>
      <w:r w:rsidR="00CB7793">
        <w:rPr>
          <w:rFonts w:ascii="Garamond" w:hAnsi="Garamond"/>
          <w:sz w:val="24"/>
          <w:szCs w:val="24"/>
        </w:rPr>
        <w:t xml:space="preserve">er </w:t>
      </w:r>
      <w:r w:rsidR="007D0FEF" w:rsidRPr="008A5FF3">
        <w:rPr>
          <w:rFonts w:ascii="Garamond" w:hAnsi="Garamond"/>
          <w:sz w:val="24"/>
          <w:szCs w:val="24"/>
        </w:rPr>
        <w:t>udvalgt en konkret aldersdifferentiering</w:t>
      </w:r>
      <w:r w:rsidR="00CB7793">
        <w:rPr>
          <w:rFonts w:ascii="Garamond" w:hAnsi="Garamond"/>
          <w:sz w:val="24"/>
          <w:szCs w:val="24"/>
        </w:rPr>
        <w:t xml:space="preserve">, som opfylder </w:t>
      </w:r>
      <w:r w:rsidR="00CB7793" w:rsidRPr="008A5FF3">
        <w:rPr>
          <w:rFonts w:ascii="Garamond" w:hAnsi="Garamond"/>
          <w:sz w:val="24"/>
          <w:szCs w:val="24"/>
        </w:rPr>
        <w:t xml:space="preserve">principper </w:t>
      </w:r>
      <w:r w:rsidR="00B510DA" w:rsidRPr="008A5FF3">
        <w:rPr>
          <w:rFonts w:ascii="Garamond" w:hAnsi="Garamond"/>
          <w:sz w:val="24"/>
          <w:szCs w:val="24"/>
        </w:rPr>
        <w:t xml:space="preserve">ovenfor </w:t>
      </w:r>
      <w:r w:rsidR="00CB7793">
        <w:rPr>
          <w:rFonts w:ascii="Garamond" w:hAnsi="Garamond"/>
          <w:sz w:val="24"/>
          <w:szCs w:val="24"/>
        </w:rPr>
        <w:t>(princip 5-9)</w:t>
      </w:r>
      <w:r w:rsidR="00C12E08">
        <w:rPr>
          <w:rFonts w:ascii="Garamond" w:hAnsi="Garamond"/>
          <w:sz w:val="24"/>
          <w:szCs w:val="24"/>
        </w:rPr>
        <w:t xml:space="preserve"> – model </w:t>
      </w:r>
      <w:r w:rsidR="00B36C8A">
        <w:rPr>
          <w:rFonts w:ascii="Garamond" w:hAnsi="Garamond"/>
          <w:sz w:val="24"/>
          <w:szCs w:val="24"/>
        </w:rPr>
        <w:t>4</w:t>
      </w:r>
      <w:r w:rsidR="00B36C8A" w:rsidRPr="00F21D96">
        <w:rPr>
          <w:rFonts w:ascii="Garamond" w:hAnsi="Garamond"/>
          <w:i/>
          <w:sz w:val="24"/>
          <w:szCs w:val="24"/>
        </w:rPr>
        <w:t>, jf. boks 3.10</w:t>
      </w:r>
      <w:r w:rsidR="007D0FEF" w:rsidRPr="008A5FF3">
        <w:rPr>
          <w:rFonts w:ascii="Garamond" w:hAnsi="Garamond"/>
          <w:sz w:val="24"/>
          <w:szCs w:val="24"/>
        </w:rPr>
        <w:t>.</w:t>
      </w:r>
      <w:r w:rsidR="008A5FF3">
        <w:rPr>
          <w:rFonts w:ascii="Garamond" w:hAnsi="Garamond"/>
          <w:sz w:val="24"/>
          <w:szCs w:val="24"/>
        </w:rPr>
        <w:t xml:space="preserve"> </w:t>
      </w:r>
    </w:p>
    <w:p w:rsidR="00FE0D75" w:rsidRDefault="007D0FEF" w:rsidP="00B30869">
      <w:pPr>
        <w:spacing w:after="0"/>
        <w:jc w:val="both"/>
        <w:rPr>
          <w:rFonts w:ascii="Garamond" w:hAnsi="Garamond"/>
          <w:sz w:val="24"/>
          <w:szCs w:val="24"/>
        </w:rPr>
      </w:pPr>
      <w:r w:rsidRPr="008A5FF3">
        <w:rPr>
          <w:rFonts w:ascii="Garamond" w:hAnsi="Garamond"/>
          <w:sz w:val="24"/>
          <w:szCs w:val="24"/>
        </w:rPr>
        <w:t xml:space="preserve">I </w:t>
      </w:r>
      <w:r w:rsidR="00FE0D75">
        <w:rPr>
          <w:rFonts w:ascii="Garamond" w:hAnsi="Garamond"/>
          <w:sz w:val="24"/>
          <w:szCs w:val="24"/>
        </w:rPr>
        <w:t xml:space="preserve">denne </w:t>
      </w:r>
      <w:r w:rsidR="009D0962">
        <w:rPr>
          <w:rFonts w:ascii="Garamond" w:hAnsi="Garamond"/>
          <w:sz w:val="24"/>
          <w:szCs w:val="24"/>
        </w:rPr>
        <w:t>model</w:t>
      </w:r>
      <w:r w:rsidR="00FE0D75">
        <w:rPr>
          <w:rFonts w:ascii="Garamond" w:hAnsi="Garamond"/>
          <w:sz w:val="24"/>
          <w:szCs w:val="24"/>
        </w:rPr>
        <w:t>:</w:t>
      </w:r>
    </w:p>
    <w:p w:rsidR="00FE0D75" w:rsidRDefault="007D0FEF" w:rsidP="00B30869">
      <w:pPr>
        <w:pStyle w:val="Listeafsnit"/>
        <w:numPr>
          <w:ilvl w:val="0"/>
          <w:numId w:val="16"/>
        </w:numPr>
        <w:tabs>
          <w:tab w:val="clear" w:pos="340"/>
        </w:tabs>
        <w:ind w:left="426" w:hanging="284"/>
        <w:jc w:val="both"/>
      </w:pPr>
      <w:r w:rsidRPr="00FE0D75">
        <w:t xml:space="preserve">fastholdes </w:t>
      </w:r>
      <w:r w:rsidR="002923BA" w:rsidRPr="00FE0D75">
        <w:t>de</w:t>
      </w:r>
      <w:r w:rsidR="00FE0D75" w:rsidRPr="00FE0D75">
        <w:t>n</w:t>
      </w:r>
      <w:r w:rsidR="002923BA" w:rsidRPr="00FE0D75">
        <w:t xml:space="preserve"> </w:t>
      </w:r>
      <w:r w:rsidR="00FE0D75" w:rsidRPr="00FE0D75">
        <w:t>samlede volumen af</w:t>
      </w:r>
      <w:r w:rsidR="002923BA" w:rsidRPr="00FE0D75">
        <w:t xml:space="preserve"> KMF på de</w:t>
      </w:r>
      <w:r w:rsidR="009D0962">
        <w:t xml:space="preserve"> ca.</w:t>
      </w:r>
      <w:r w:rsidR="002923BA" w:rsidRPr="00FE0D75">
        <w:t xml:space="preserve"> 20 mia. kr</w:t>
      </w:r>
      <w:r w:rsidR="002923BA" w:rsidRPr="00B30869">
        <w:rPr>
          <w:i/>
        </w:rPr>
        <w:t>.</w:t>
      </w:r>
      <w:r w:rsidR="009B62F8">
        <w:rPr>
          <w:i/>
        </w:rPr>
        <w:t xml:space="preserve"> </w:t>
      </w:r>
      <w:r w:rsidR="00CB7793">
        <w:t>Dermed ændres der</w:t>
      </w:r>
      <w:r w:rsidR="00CB7793" w:rsidRPr="00E14D87">
        <w:t xml:space="preserve"> </w:t>
      </w:r>
      <w:r w:rsidR="00CB7793">
        <w:t xml:space="preserve">ikke </w:t>
      </w:r>
      <w:r w:rsidR="00EF258B" w:rsidRPr="00B30869">
        <w:t xml:space="preserve">på </w:t>
      </w:r>
      <w:r w:rsidR="00E4204A" w:rsidRPr="00B30869">
        <w:t>ordningen</w:t>
      </w:r>
      <w:r w:rsidR="009B62F8">
        <w:t>s</w:t>
      </w:r>
      <w:r w:rsidR="00E4204A" w:rsidRPr="00B30869">
        <w:t xml:space="preserve"> </w:t>
      </w:r>
      <w:r w:rsidR="00EF258B" w:rsidRPr="00B30869">
        <w:t>størrelse og hermed gennemslag ift. kommu</w:t>
      </w:r>
      <w:r w:rsidR="009B62F8" w:rsidRPr="009B62F8">
        <w:t>nernes</w:t>
      </w:r>
      <w:r w:rsidR="009B62F8">
        <w:t xml:space="preserve"> </w:t>
      </w:r>
      <w:r w:rsidR="00EF258B" w:rsidRPr="00B30869">
        <w:t>incitament</w:t>
      </w:r>
      <w:r w:rsidR="009B62F8" w:rsidRPr="009B62F8">
        <w:t xml:space="preserve"> </w:t>
      </w:r>
      <w:r w:rsidR="009B62F8" w:rsidRPr="00FE0D75">
        <w:rPr>
          <w:i/>
        </w:rPr>
        <w:t>(princip</w:t>
      </w:r>
      <w:r w:rsidR="009B62F8" w:rsidRPr="002403CC">
        <w:rPr>
          <w:i/>
        </w:rPr>
        <w:t xml:space="preserve"> 5)</w:t>
      </w:r>
      <w:r w:rsidR="009B62F8">
        <w:rPr>
          <w:i/>
        </w:rPr>
        <w:t>.</w:t>
      </w:r>
    </w:p>
    <w:p w:rsidR="00E4204A" w:rsidRDefault="00E4204A" w:rsidP="00B30869">
      <w:pPr>
        <w:pStyle w:val="Listeafsnit"/>
        <w:tabs>
          <w:tab w:val="clear" w:pos="340"/>
        </w:tabs>
        <w:ind w:left="426"/>
        <w:jc w:val="both"/>
      </w:pPr>
    </w:p>
    <w:p w:rsidR="0011669B" w:rsidRPr="00F21D96" w:rsidRDefault="00757971" w:rsidP="00D7608A">
      <w:pPr>
        <w:pStyle w:val="Listeafsnit"/>
        <w:numPr>
          <w:ilvl w:val="0"/>
          <w:numId w:val="16"/>
        </w:numPr>
        <w:tabs>
          <w:tab w:val="clear" w:pos="340"/>
        </w:tabs>
        <w:ind w:left="426" w:hanging="284"/>
        <w:jc w:val="both"/>
        <w:rPr>
          <w:i/>
        </w:rPr>
      </w:pPr>
      <w:r>
        <w:t>differentieres</w:t>
      </w:r>
      <w:r w:rsidR="0011669B">
        <w:t xml:space="preserve"> kun på tre niveauer</w:t>
      </w:r>
      <w:r w:rsidR="009D0962">
        <w:t>: a. 0-2 årige</w:t>
      </w:r>
      <w:r w:rsidR="009D0962" w:rsidRPr="00FE0D75">
        <w:t xml:space="preserve"> og </w:t>
      </w:r>
      <w:r w:rsidR="009D0962">
        <w:t xml:space="preserve">65-79 år (samme niveau), b. </w:t>
      </w:r>
      <w:r w:rsidR="009D0962" w:rsidRPr="00F21D96">
        <w:t>3-64 år</w:t>
      </w:r>
      <w:r w:rsidR="0011669B">
        <w:t>.</w:t>
      </w:r>
      <w:r w:rsidR="009D0962">
        <w:t xml:space="preserve"> og</w:t>
      </w:r>
      <w:r w:rsidR="0011669B">
        <w:t xml:space="preserve"> </w:t>
      </w:r>
      <w:r w:rsidR="009D0962" w:rsidRPr="00D7608A">
        <w:t>c. 80+ år</w:t>
      </w:r>
      <w:r w:rsidR="009D0962" w:rsidRPr="009D0962">
        <w:rPr>
          <w:i/>
        </w:rPr>
        <w:t xml:space="preserve"> </w:t>
      </w:r>
      <w:r w:rsidR="009D0962" w:rsidRPr="00EF258B">
        <w:rPr>
          <w:i/>
        </w:rPr>
        <w:t>jf. boks 3.1</w:t>
      </w:r>
      <w:r w:rsidR="00D7608A">
        <w:rPr>
          <w:i/>
        </w:rPr>
        <w:t>1</w:t>
      </w:r>
      <w:r w:rsidR="009D0962" w:rsidRPr="00D7608A">
        <w:t xml:space="preserve">. </w:t>
      </w:r>
      <w:r w:rsidR="0011669B" w:rsidRPr="00D7608A">
        <w:t xml:space="preserve">Dermed fastholdes </w:t>
      </w:r>
      <w:r w:rsidR="009D0962" w:rsidRPr="00D7608A">
        <w:t>et enkelt og gennemsigtig model</w:t>
      </w:r>
      <w:r w:rsidR="0011669B" w:rsidRPr="00E264BB">
        <w:t xml:space="preserve"> med høj grad af stabilitet over tid</w:t>
      </w:r>
      <w:r w:rsidR="0011669B" w:rsidRPr="00F21D96">
        <w:rPr>
          <w:i/>
        </w:rPr>
        <w:t xml:space="preserve"> (princip 2</w:t>
      </w:r>
      <w:r w:rsidR="009D0962" w:rsidRPr="00F21D96">
        <w:rPr>
          <w:i/>
        </w:rPr>
        <w:t>,</w:t>
      </w:r>
      <w:r w:rsidR="0011669B" w:rsidRPr="00F21D96">
        <w:rPr>
          <w:i/>
        </w:rPr>
        <w:t xml:space="preserve"> 3, og 4)</w:t>
      </w:r>
      <w:r w:rsidRPr="00F21D96">
        <w:rPr>
          <w:i/>
        </w:rPr>
        <w:t>.</w:t>
      </w:r>
    </w:p>
    <w:p w:rsidR="0011669B" w:rsidRPr="00B30869" w:rsidRDefault="0011669B" w:rsidP="00B30869">
      <w:pPr>
        <w:pStyle w:val="Listeafsnit"/>
        <w:rPr>
          <w:i/>
        </w:rPr>
      </w:pPr>
    </w:p>
    <w:p w:rsidR="00E4204A" w:rsidRPr="00B30869" w:rsidRDefault="00FE0D75" w:rsidP="00B30869">
      <w:pPr>
        <w:pStyle w:val="Listeafsnit"/>
        <w:numPr>
          <w:ilvl w:val="0"/>
          <w:numId w:val="16"/>
        </w:numPr>
        <w:tabs>
          <w:tab w:val="clear" w:pos="340"/>
        </w:tabs>
        <w:ind w:left="426" w:hanging="284"/>
        <w:jc w:val="both"/>
      </w:pPr>
      <w:r>
        <w:t xml:space="preserve">øges </w:t>
      </w:r>
      <w:r w:rsidR="009D0962">
        <w:t xml:space="preserve">både </w:t>
      </w:r>
      <w:r w:rsidR="008A5FF3" w:rsidRPr="00FE0D75">
        <w:t>p</w:t>
      </w:r>
      <w:r w:rsidR="002923BA" w:rsidRPr="00FE0D75">
        <w:t xml:space="preserve">ct.sats og </w:t>
      </w:r>
      <w:r w:rsidR="009D0962">
        <w:t xml:space="preserve">maksimal </w:t>
      </w:r>
      <w:r w:rsidR="002923BA" w:rsidRPr="00FE0D75">
        <w:t>lofterne</w:t>
      </w:r>
      <w:r w:rsidR="008A5FF3" w:rsidRPr="00FE0D75">
        <w:t xml:space="preserve"> </w:t>
      </w:r>
      <w:r w:rsidR="007D0FEF" w:rsidRPr="00FE0D75">
        <w:t xml:space="preserve">blandt </w:t>
      </w:r>
      <w:r w:rsidR="008A5FF3" w:rsidRPr="00FE0D75">
        <w:t>små børn</w:t>
      </w:r>
      <w:r w:rsidR="00CB7793">
        <w:t>(0-2 årige)</w:t>
      </w:r>
      <w:r w:rsidR="008A5FF3" w:rsidRPr="00FE0D75">
        <w:t xml:space="preserve"> og ældre</w:t>
      </w:r>
      <w:r w:rsidR="00CB7793">
        <w:t xml:space="preserve"> (65+)</w:t>
      </w:r>
      <w:r w:rsidR="00EF258B" w:rsidRPr="00B30869">
        <w:t>,</w:t>
      </w:r>
      <w:r w:rsidR="00EF258B" w:rsidRPr="00EF258B">
        <w:rPr>
          <w:i/>
        </w:rPr>
        <w:t xml:space="preserve"> </w:t>
      </w:r>
      <w:r w:rsidR="00CB7793">
        <w:t xml:space="preserve">mens </w:t>
      </w:r>
      <w:r w:rsidR="00073C86">
        <w:t>de</w:t>
      </w:r>
      <w:r w:rsidR="00CB7793">
        <w:t xml:space="preserve"> sænkes modsvarende for gruppen 3-64 årige</w:t>
      </w:r>
      <w:r w:rsidR="009D0962">
        <w:t xml:space="preserve"> </w:t>
      </w:r>
      <w:r w:rsidR="009D0962" w:rsidRPr="00EF258B">
        <w:rPr>
          <w:i/>
        </w:rPr>
        <w:t>(princip 6)</w:t>
      </w:r>
      <w:r w:rsidR="009D0962" w:rsidRPr="009D0962">
        <w:rPr>
          <w:i/>
        </w:rPr>
        <w:t xml:space="preserve"> </w:t>
      </w:r>
      <w:r w:rsidR="009D0962" w:rsidRPr="00EF258B">
        <w:rPr>
          <w:i/>
        </w:rPr>
        <w:t>jf. boks 3.1</w:t>
      </w:r>
      <w:r w:rsidR="00D7608A">
        <w:rPr>
          <w:i/>
        </w:rPr>
        <w:t>1</w:t>
      </w:r>
      <w:r w:rsidR="00CB7793">
        <w:t xml:space="preserve">. </w:t>
      </w:r>
      <w:r w:rsidR="00073C86">
        <w:t xml:space="preserve">Pct.satserne og lofterne er </w:t>
      </w:r>
      <w:r w:rsidR="00D7608A">
        <w:t>som nævnt ovenfor ens</w:t>
      </w:r>
      <w:r w:rsidR="00073C86">
        <w:t xml:space="preserve"> for de 0-2 og 65-79 årige</w:t>
      </w:r>
      <w:r w:rsidR="00031F02">
        <w:t xml:space="preserve"> (45 pct./2</w:t>
      </w:r>
      <w:r w:rsidR="00D7608A">
        <w:t>5</w:t>
      </w:r>
      <w:r w:rsidR="00031F02">
        <w:t>.000 loft)</w:t>
      </w:r>
      <w:r w:rsidR="00073C86">
        <w:t>, mens de f</w:t>
      </w:r>
      <w:r w:rsidR="00CB7793">
        <w:t xml:space="preserve">or 80 +årige </w:t>
      </w:r>
      <w:r w:rsidR="00073C86">
        <w:t xml:space="preserve">er øget det </w:t>
      </w:r>
      <w:r w:rsidR="00031F02">
        <w:t>yderligere (56 pct./</w:t>
      </w:r>
      <w:r w:rsidR="00D7608A">
        <w:t>30</w:t>
      </w:r>
      <w:r w:rsidR="00031F02">
        <w:t>.000 loft)</w:t>
      </w:r>
      <w:r w:rsidR="00D7608A">
        <w:rPr>
          <w:i/>
        </w:rPr>
        <w:t xml:space="preserve">. </w:t>
      </w:r>
      <w:r w:rsidR="00CB7793">
        <w:t>Dermed</w:t>
      </w:r>
      <w:r w:rsidR="00EF258B" w:rsidRPr="00B30869">
        <w:t xml:space="preserve"> </w:t>
      </w:r>
      <w:r w:rsidR="00CB7793" w:rsidRPr="00135155">
        <w:t xml:space="preserve">målrettes </w:t>
      </w:r>
      <w:r w:rsidR="00EF258B" w:rsidRPr="00B30869">
        <w:t>ordni</w:t>
      </w:r>
      <w:r w:rsidR="00A634D6" w:rsidRPr="00B30869">
        <w:t xml:space="preserve">ngen </w:t>
      </w:r>
      <w:r w:rsidR="00CB7793">
        <w:t>der,</w:t>
      </w:r>
      <w:r w:rsidR="00EF258B" w:rsidRPr="00B30869">
        <w:t xml:space="preserve"> hvor kommunerne har de bedste muligheder for at påvirke trækket på det regionale sundhedsvæsen</w:t>
      </w:r>
      <w:r w:rsidR="00A634D6" w:rsidRPr="00B30869">
        <w:t>, jf. ovenfor</w:t>
      </w:r>
      <w:r w:rsidR="002923BA" w:rsidRPr="00EF258B">
        <w:rPr>
          <w:i/>
        </w:rPr>
        <w:t>.</w:t>
      </w:r>
      <w:r w:rsidR="00E4204A" w:rsidRPr="00EF258B">
        <w:rPr>
          <w:i/>
        </w:rPr>
        <w:t xml:space="preserve"> </w:t>
      </w:r>
    </w:p>
    <w:p w:rsidR="002075A4" w:rsidRDefault="002075A4" w:rsidP="00B30869">
      <w:pPr>
        <w:pStyle w:val="Listeafsnit"/>
      </w:pPr>
    </w:p>
    <w:p w:rsidR="00781C12" w:rsidRPr="00B30869" w:rsidRDefault="008D4B7D" w:rsidP="00B30869">
      <w:pPr>
        <w:pStyle w:val="Listeafsnit"/>
        <w:numPr>
          <w:ilvl w:val="0"/>
          <w:numId w:val="16"/>
        </w:numPr>
        <w:tabs>
          <w:tab w:val="clear" w:pos="340"/>
        </w:tabs>
        <w:ind w:left="426" w:hanging="284"/>
        <w:jc w:val="both"/>
      </w:pPr>
      <w:r w:rsidRPr="00757971">
        <w:t>f</w:t>
      </w:r>
      <w:r w:rsidRPr="00351954">
        <w:t xml:space="preserve">orskellene i </w:t>
      </w:r>
      <w:r w:rsidR="00781C12" w:rsidRPr="00351954">
        <w:t>medfinansiering</w:t>
      </w:r>
      <w:r>
        <w:t>s</w:t>
      </w:r>
      <w:r w:rsidRPr="00757971">
        <w:t>andelen</w:t>
      </w:r>
      <w:r w:rsidR="00781C12" w:rsidRPr="00351954">
        <w:t xml:space="preserve"> mellem de forskellige </w:t>
      </w:r>
      <w:r w:rsidRPr="00351954">
        <w:t>alders</w:t>
      </w:r>
      <w:r w:rsidR="00781C12" w:rsidRPr="00351954">
        <w:t xml:space="preserve">grupper </w:t>
      </w:r>
      <w:r w:rsidR="002075A4" w:rsidRPr="00351954">
        <w:t xml:space="preserve">er </w:t>
      </w:r>
      <w:r w:rsidR="00781C12" w:rsidRPr="00351954">
        <w:t xml:space="preserve">ikke </w:t>
      </w:r>
      <w:r w:rsidR="00EF258B" w:rsidRPr="00351954">
        <w:t xml:space="preserve">for </w:t>
      </w:r>
      <w:r w:rsidR="003B4BFC" w:rsidRPr="00351954">
        <w:t>stor</w:t>
      </w:r>
      <w:r w:rsidR="00781C12" w:rsidRPr="00351954">
        <w:t xml:space="preserve"> </w:t>
      </w:r>
      <w:r w:rsidR="00781C12" w:rsidRPr="00351954">
        <w:rPr>
          <w:i/>
        </w:rPr>
        <w:t>(princip 7)</w:t>
      </w:r>
      <w:r w:rsidR="00EF258B" w:rsidRPr="00351954">
        <w:rPr>
          <w:i/>
        </w:rPr>
        <w:t xml:space="preserve">. </w:t>
      </w:r>
      <w:r w:rsidRPr="00B30869">
        <w:t xml:space="preserve">De tre </w:t>
      </w:r>
      <w:r w:rsidR="00D7608A">
        <w:t>niveauer</w:t>
      </w:r>
      <w:r w:rsidRPr="00B30869">
        <w:t xml:space="preserve"> ligger ikke langt fra hinanden, hvor</w:t>
      </w:r>
      <w:r w:rsidR="00B74E67" w:rsidRPr="00B30869">
        <w:t>for</w:t>
      </w:r>
      <w:r w:rsidRPr="00B30869">
        <w:t xml:space="preserve"> </w:t>
      </w:r>
      <w:r w:rsidRPr="00757971">
        <w:t>kommunerne</w:t>
      </w:r>
      <w:r w:rsidRPr="00351954">
        <w:t xml:space="preserve"> fortsat </w:t>
      </w:r>
      <w:r w:rsidR="00B74E67">
        <w:t>vil have</w:t>
      </w:r>
      <w:r w:rsidRPr="00757971">
        <w:t xml:space="preserve"> </w:t>
      </w:r>
      <w:r w:rsidRPr="00351954">
        <w:t>et incitament til en borgerrettede forebyggelsesindsats</w:t>
      </w:r>
      <w:r w:rsidRPr="004524AC">
        <w:t xml:space="preserve"> </w:t>
      </w:r>
      <w:r>
        <w:t xml:space="preserve">samtidig med at </w:t>
      </w:r>
      <w:r w:rsidRPr="004524AC">
        <w:t xml:space="preserve">incitament styrkes ift. </w:t>
      </w:r>
      <w:r w:rsidR="00B74E67">
        <w:t xml:space="preserve">især </w:t>
      </w:r>
      <w:r w:rsidRPr="004524AC">
        <w:t>de ældste borgere</w:t>
      </w:r>
      <w:r>
        <w:t xml:space="preserve">. </w:t>
      </w:r>
    </w:p>
    <w:p w:rsidR="002075A4" w:rsidRPr="00B30869" w:rsidRDefault="002075A4" w:rsidP="00B30869">
      <w:pPr>
        <w:pStyle w:val="Listeafsnit"/>
        <w:tabs>
          <w:tab w:val="clear" w:pos="340"/>
        </w:tabs>
        <w:ind w:left="426"/>
        <w:jc w:val="both"/>
      </w:pPr>
    </w:p>
    <w:p w:rsidR="00F548A3" w:rsidRPr="00286901" w:rsidRDefault="009B62F8" w:rsidP="00F21D96">
      <w:pPr>
        <w:pStyle w:val="Listeafsnit"/>
        <w:numPr>
          <w:ilvl w:val="0"/>
          <w:numId w:val="16"/>
        </w:numPr>
        <w:tabs>
          <w:tab w:val="clear" w:pos="340"/>
        </w:tabs>
        <w:ind w:left="426" w:hanging="284"/>
        <w:jc w:val="both"/>
      </w:pPr>
      <w:r w:rsidRPr="00B30869">
        <w:t>balancen mellem behandlingsformer fastholdes</w:t>
      </w:r>
      <w:r w:rsidRPr="00757971">
        <w:t xml:space="preserve"> </w:t>
      </w:r>
      <w:r w:rsidRPr="00B30869">
        <w:t>(</w:t>
      </w:r>
      <w:r w:rsidRPr="00F21D96">
        <w:rPr>
          <w:i/>
        </w:rPr>
        <w:t>princip 8</w:t>
      </w:r>
      <w:r w:rsidRPr="00B30869">
        <w:t>)</w:t>
      </w:r>
      <w:r w:rsidR="00073C86" w:rsidRPr="00757971">
        <w:t xml:space="preserve">. </w:t>
      </w:r>
      <w:r w:rsidR="00B74E67">
        <w:t>S</w:t>
      </w:r>
      <w:r w:rsidR="0032255C" w:rsidRPr="00757971">
        <w:t>y</w:t>
      </w:r>
      <w:r w:rsidRPr="00351954">
        <w:t>gehusbehandling og speciallæge</w:t>
      </w:r>
      <w:r w:rsidR="0032255C" w:rsidRPr="00351954">
        <w:t xml:space="preserve">rne </w:t>
      </w:r>
      <w:r w:rsidR="00B74E67">
        <w:t>vil l</w:t>
      </w:r>
      <w:r w:rsidR="00B74E67" w:rsidRPr="004524AC">
        <w:t xml:space="preserve">igesom i dag </w:t>
      </w:r>
      <w:r w:rsidR="0032255C" w:rsidRPr="00757971">
        <w:t>f</w:t>
      </w:r>
      <w:r w:rsidR="0032255C" w:rsidRPr="00351954">
        <w:t>å</w:t>
      </w:r>
      <w:r w:rsidRPr="00351954">
        <w:t xml:space="preserve"> </w:t>
      </w:r>
      <w:r w:rsidR="00B74E67">
        <w:t xml:space="preserve">tildelt </w:t>
      </w:r>
      <w:r w:rsidRPr="00757971">
        <w:t xml:space="preserve">samme </w:t>
      </w:r>
      <w:r w:rsidR="00B74E67">
        <w:t>differentierings</w:t>
      </w:r>
      <w:r w:rsidRPr="00757971">
        <w:t>niveauer på grund af substitution</w:t>
      </w:r>
      <w:r w:rsidR="00D7608A">
        <w:t>,</w:t>
      </w:r>
      <w:r w:rsidR="00B74E67">
        <w:t xml:space="preserve"> </w:t>
      </w:r>
      <w:r w:rsidR="00B74E67" w:rsidRPr="00B30869">
        <w:rPr>
          <w:i/>
        </w:rPr>
        <w:t>jf. boks 3.1</w:t>
      </w:r>
      <w:r w:rsidR="00D7608A">
        <w:rPr>
          <w:i/>
        </w:rPr>
        <w:t>1</w:t>
      </w:r>
      <w:r w:rsidRPr="00757971">
        <w:t>. For almen praksis og øvrige praksisydelser differentieres der på et lavere niveau</w:t>
      </w:r>
      <w:r w:rsidRPr="00351954">
        <w:t xml:space="preserve"> ligesom den nuværende ordning – kommunerne skal ikke forhindre borgere i at gå til lægen</w:t>
      </w:r>
      <w:r w:rsidR="002075A4" w:rsidRPr="00B30869">
        <w:t xml:space="preserve">, men den brede forebyggende indsats har også en betydning her. </w:t>
      </w:r>
      <w:r w:rsidRPr="00757971">
        <w:t>M</w:t>
      </w:r>
      <w:r w:rsidRPr="00351954">
        <w:t>edfinansiering</w:t>
      </w:r>
      <w:r w:rsidR="002075A4" w:rsidRPr="00B30869">
        <w:t>en</w:t>
      </w:r>
      <w:r w:rsidRPr="00757971">
        <w:t xml:space="preserve"> på psykiatrisk behandling og genoptræning under indlæggelse </w:t>
      </w:r>
      <w:r w:rsidR="002075A4" w:rsidRPr="00B30869">
        <w:t xml:space="preserve">ændres </w:t>
      </w:r>
      <w:r w:rsidRPr="00757971">
        <w:t>ikke</w:t>
      </w:r>
      <w:r w:rsidR="002075A4" w:rsidRPr="00B30869">
        <w:t>, idet taksterne i forvejen er høje</w:t>
      </w:r>
      <w:r w:rsidRPr="00351954">
        <w:t xml:space="preserve">. </w:t>
      </w:r>
    </w:p>
    <w:tbl>
      <w:tblPr>
        <w:tblStyle w:val="Tabel-Gitter"/>
        <w:tblpPr w:leftFromText="141" w:rightFromText="141" w:vertAnchor="text" w:horzAnchor="margin" w:tblpX="108" w:tblpY="126"/>
        <w:tblW w:w="7513"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shd w:val="clear" w:color="auto" w:fill="E9EFEC"/>
        <w:tblLayout w:type="fixed"/>
        <w:tblLook w:val="04A0" w:firstRow="1" w:lastRow="0" w:firstColumn="1" w:lastColumn="0" w:noHBand="0" w:noVBand="1"/>
      </w:tblPr>
      <w:tblGrid>
        <w:gridCol w:w="7513"/>
      </w:tblGrid>
      <w:tr w:rsidR="008A5FF3" w:rsidRPr="001F61A3" w:rsidTr="00F21D96">
        <w:tc>
          <w:tcPr>
            <w:tcW w:w="7513" w:type="dxa"/>
            <w:shd w:val="clear" w:color="auto" w:fill="E9EFEC"/>
            <w:hideMark/>
          </w:tcPr>
          <w:p w:rsidR="008A5FF3" w:rsidRPr="00B30869" w:rsidRDefault="008A5FF3" w:rsidP="00B36C8A">
            <w:pPr>
              <w:spacing w:line="276" w:lineRule="auto"/>
              <w:rPr>
                <w:rFonts w:ascii="Garamond" w:hAnsi="Garamond"/>
                <w:b/>
                <w:sz w:val="16"/>
                <w:szCs w:val="16"/>
              </w:rPr>
            </w:pPr>
            <w:r w:rsidRPr="00B30869">
              <w:rPr>
                <w:rFonts w:ascii="Garamond" w:hAnsi="Garamond"/>
                <w:b/>
                <w:sz w:val="16"/>
                <w:szCs w:val="16"/>
              </w:rPr>
              <w:t>Boks 3.</w:t>
            </w:r>
            <w:r w:rsidR="00FE0D75">
              <w:rPr>
                <w:rFonts w:ascii="Garamond" w:hAnsi="Garamond"/>
                <w:b/>
                <w:sz w:val="16"/>
                <w:szCs w:val="16"/>
              </w:rPr>
              <w:t>1</w:t>
            </w:r>
            <w:r w:rsidR="00D7608A">
              <w:rPr>
                <w:rFonts w:ascii="Garamond" w:hAnsi="Garamond"/>
                <w:b/>
                <w:sz w:val="16"/>
                <w:szCs w:val="16"/>
              </w:rPr>
              <w:t>1</w:t>
            </w:r>
            <w:r w:rsidRPr="00B30869">
              <w:rPr>
                <w:rFonts w:ascii="Garamond" w:hAnsi="Garamond"/>
                <w:b/>
                <w:sz w:val="16"/>
                <w:szCs w:val="16"/>
              </w:rPr>
              <w:br/>
              <w:t>Nuværende og differentieret ordning – stationær, ambulant og speciallæge</w:t>
            </w:r>
          </w:p>
          <w:p w:rsidR="008A5FF3" w:rsidRPr="001F61A3" w:rsidRDefault="00B36C8A" w:rsidP="00B36C8A">
            <w:pPr>
              <w:spacing w:line="276" w:lineRule="auto"/>
              <w:jc w:val="both"/>
              <w:rPr>
                <w:rFonts w:ascii="Garamond" w:hAnsi="Garamond"/>
                <w:sz w:val="24"/>
                <w:szCs w:val="24"/>
              </w:rPr>
            </w:pPr>
            <w:r>
              <w:rPr>
                <w:rFonts w:ascii="Garamond" w:hAnsi="Garamond"/>
                <w:noProof/>
                <w:sz w:val="24"/>
                <w:szCs w:val="24"/>
              </w:rPr>
              <w:drawing>
                <wp:inline distT="0" distB="0" distL="0" distR="0" wp14:anchorId="2FFA1A2B" wp14:editId="28CAB18C">
                  <wp:extent cx="4551408" cy="1828800"/>
                  <wp:effectExtent l="0" t="0" r="1905"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1547" cy="1828856"/>
                          </a:xfrm>
                          <a:prstGeom prst="rect">
                            <a:avLst/>
                          </a:prstGeom>
                          <a:noFill/>
                          <a:ln>
                            <a:noFill/>
                          </a:ln>
                        </pic:spPr>
                      </pic:pic>
                    </a:graphicData>
                  </a:graphic>
                </wp:inline>
              </w:drawing>
            </w:r>
            <w:r w:rsidRPr="0045317C" w:rsidDel="00B36C8A">
              <w:rPr>
                <w:rFonts w:ascii="Garamond" w:hAnsi="Garamond"/>
                <w:noProof/>
                <w:sz w:val="24"/>
                <w:szCs w:val="24"/>
              </w:rPr>
              <w:t xml:space="preserve"> </w:t>
            </w:r>
            <w:r w:rsidRPr="004346C2" w:rsidDel="00B36C8A">
              <w:rPr>
                <w:rFonts w:ascii="Garamond" w:hAnsi="Garamond"/>
                <w:noProof/>
                <w:sz w:val="24"/>
                <w:szCs w:val="24"/>
              </w:rPr>
              <w:t xml:space="preserve"> </w:t>
            </w:r>
            <w:r w:rsidR="008A5FF3" w:rsidRPr="001F61A3" w:rsidDel="00E04E91">
              <w:rPr>
                <w:rFonts w:ascii="Garamond" w:hAnsi="Garamond"/>
                <w:sz w:val="24"/>
                <w:szCs w:val="24"/>
              </w:rPr>
              <w:t xml:space="preserve">   </w:t>
            </w:r>
          </w:p>
        </w:tc>
      </w:tr>
      <w:tr w:rsidR="008A5FF3" w:rsidRPr="001F61A3" w:rsidTr="00F21D96">
        <w:tc>
          <w:tcPr>
            <w:tcW w:w="7513" w:type="dxa"/>
            <w:shd w:val="clear" w:color="auto" w:fill="E9EFEC"/>
          </w:tcPr>
          <w:p w:rsidR="008A5FF3" w:rsidRPr="00B30869" w:rsidRDefault="008A5FF3" w:rsidP="00B36C8A">
            <w:pPr>
              <w:spacing w:line="276" w:lineRule="auto"/>
              <w:jc w:val="both"/>
              <w:rPr>
                <w:rFonts w:ascii="Garamond" w:hAnsi="Garamond"/>
                <w:sz w:val="16"/>
                <w:szCs w:val="16"/>
              </w:rPr>
            </w:pPr>
            <w:r w:rsidRPr="00B30869">
              <w:rPr>
                <w:rFonts w:ascii="Garamond" w:hAnsi="Garamond"/>
                <w:sz w:val="16"/>
                <w:szCs w:val="16"/>
              </w:rPr>
              <w:t xml:space="preserve">Note: De praktiserende læger har  samme model, men er på et lavere niveau. Den ambulante somatik  er samme model, men lavere lofter .  </w:t>
            </w:r>
          </w:p>
        </w:tc>
      </w:tr>
    </w:tbl>
    <w:p w:rsidR="00D62AEB" w:rsidRPr="008A5FF3" w:rsidRDefault="00D62AEB" w:rsidP="00E4204A">
      <w:pPr>
        <w:jc w:val="both"/>
        <w:rPr>
          <w:rFonts w:ascii="Garamond" w:hAnsi="Garamond"/>
          <w:sz w:val="24"/>
          <w:szCs w:val="24"/>
        </w:rPr>
      </w:pPr>
    </w:p>
    <w:p w:rsidR="0017212C" w:rsidRDefault="0025052A" w:rsidP="00B30869">
      <w:pPr>
        <w:jc w:val="both"/>
        <w:rPr>
          <w:rFonts w:ascii="Garamond" w:hAnsi="Garamond"/>
          <w:sz w:val="24"/>
          <w:szCs w:val="24"/>
        </w:rPr>
      </w:pPr>
      <w:r w:rsidRPr="00132751">
        <w:rPr>
          <w:rFonts w:ascii="Garamond" w:hAnsi="Garamond"/>
          <w:sz w:val="24"/>
          <w:szCs w:val="24"/>
        </w:rPr>
        <w:t xml:space="preserve">Den specifikke udspecificering af maksimal lofter og </w:t>
      </w:r>
      <w:r w:rsidR="00D7608A">
        <w:rPr>
          <w:rFonts w:ascii="Garamond" w:hAnsi="Garamond"/>
          <w:sz w:val="24"/>
          <w:szCs w:val="24"/>
        </w:rPr>
        <w:t>pct.satser</w:t>
      </w:r>
      <w:r w:rsidR="00D7608A" w:rsidRPr="00132751">
        <w:rPr>
          <w:rFonts w:ascii="Garamond" w:hAnsi="Garamond"/>
          <w:sz w:val="24"/>
          <w:szCs w:val="24"/>
        </w:rPr>
        <w:t xml:space="preserve"> </w:t>
      </w:r>
      <w:r w:rsidRPr="00132751">
        <w:rPr>
          <w:rFonts w:ascii="Garamond" w:hAnsi="Garamond"/>
          <w:sz w:val="24"/>
          <w:szCs w:val="24"/>
        </w:rPr>
        <w:t xml:space="preserve">er gengivet i tabel </w:t>
      </w:r>
      <w:r>
        <w:rPr>
          <w:rFonts w:ascii="Garamond" w:hAnsi="Garamond"/>
          <w:sz w:val="24"/>
          <w:szCs w:val="24"/>
        </w:rPr>
        <w:t>3.</w:t>
      </w:r>
      <w:r w:rsidR="00C85423">
        <w:rPr>
          <w:rFonts w:ascii="Garamond" w:hAnsi="Garamond"/>
          <w:sz w:val="24"/>
          <w:szCs w:val="24"/>
        </w:rPr>
        <w:t>1</w:t>
      </w:r>
      <w:r w:rsidR="00D7608A">
        <w:rPr>
          <w:rFonts w:ascii="Garamond" w:hAnsi="Garamond"/>
          <w:sz w:val="24"/>
          <w:szCs w:val="24"/>
        </w:rPr>
        <w:t>2</w:t>
      </w:r>
      <w:r>
        <w:rPr>
          <w:rFonts w:ascii="Garamond" w:hAnsi="Garamond"/>
          <w:sz w:val="24"/>
          <w:szCs w:val="24"/>
        </w:rPr>
        <w:t xml:space="preserve">. </w:t>
      </w:r>
      <w:r w:rsidRPr="00132751">
        <w:rPr>
          <w:rFonts w:ascii="Garamond" w:hAnsi="Garamond"/>
          <w:sz w:val="24"/>
          <w:szCs w:val="24"/>
        </w:rPr>
        <w:t xml:space="preserve"> </w:t>
      </w:r>
    </w:p>
    <w:tbl>
      <w:tblPr>
        <w:tblStyle w:val="Tabel-Gitter"/>
        <w:tblW w:w="7513" w:type="dxa"/>
        <w:tblInd w:w="108" w:type="dxa"/>
        <w:tblBorders>
          <w:top w:val="single" w:sz="12" w:space="0" w:color="auto"/>
          <w:left w:val="none" w:sz="0" w:space="0" w:color="auto"/>
          <w:bottom w:val="single" w:sz="12" w:space="0" w:color="auto"/>
          <w:right w:val="none" w:sz="0" w:space="0" w:color="auto"/>
        </w:tblBorders>
        <w:shd w:val="clear" w:color="auto" w:fill="E9EFEC"/>
        <w:tblLook w:val="04A0" w:firstRow="1" w:lastRow="0" w:firstColumn="1" w:lastColumn="0" w:noHBand="0" w:noVBand="1"/>
      </w:tblPr>
      <w:tblGrid>
        <w:gridCol w:w="7513"/>
      </w:tblGrid>
      <w:tr w:rsidR="00CA3D3B" w:rsidRPr="007D4E1A" w:rsidTr="00FD3510">
        <w:tc>
          <w:tcPr>
            <w:tcW w:w="7513" w:type="dxa"/>
            <w:tcBorders>
              <w:top w:val="single" w:sz="12" w:space="0" w:color="auto"/>
              <w:left w:val="nil"/>
              <w:bottom w:val="single" w:sz="4" w:space="0" w:color="auto"/>
              <w:right w:val="nil"/>
            </w:tcBorders>
            <w:shd w:val="clear" w:color="auto" w:fill="E9EFEC"/>
            <w:hideMark/>
          </w:tcPr>
          <w:p w:rsidR="00CA3D3B" w:rsidRPr="007D4E1A" w:rsidRDefault="00CA3D3B" w:rsidP="00CA3D3B">
            <w:pPr>
              <w:spacing w:line="240" w:lineRule="auto"/>
              <w:rPr>
                <w:rFonts w:asciiTheme="minorHAnsi" w:hAnsiTheme="minorHAnsi"/>
                <w:b/>
                <w:color w:val="000000"/>
                <w:sz w:val="16"/>
                <w:highlight w:val="yellow"/>
              </w:rPr>
            </w:pPr>
            <w:r w:rsidRPr="006A07D2">
              <w:rPr>
                <w:rFonts w:asciiTheme="minorHAnsi" w:hAnsiTheme="minorHAnsi"/>
                <w:b/>
                <w:sz w:val="16"/>
              </w:rPr>
              <w:t>Tabel 3.</w:t>
            </w:r>
            <w:r w:rsidR="00C85423">
              <w:rPr>
                <w:rFonts w:asciiTheme="minorHAnsi" w:hAnsiTheme="minorHAnsi"/>
                <w:b/>
                <w:sz w:val="16"/>
              </w:rPr>
              <w:t>1</w:t>
            </w:r>
            <w:r w:rsidR="00D7608A">
              <w:rPr>
                <w:rFonts w:asciiTheme="minorHAnsi" w:hAnsiTheme="minorHAnsi"/>
                <w:b/>
                <w:sz w:val="16"/>
              </w:rPr>
              <w:t>2</w:t>
            </w:r>
            <w:r w:rsidRPr="006A07D2">
              <w:rPr>
                <w:rFonts w:asciiTheme="minorHAnsi" w:hAnsiTheme="minorHAnsi"/>
                <w:b/>
                <w:sz w:val="16"/>
              </w:rPr>
              <w:br/>
            </w:r>
            <w:r w:rsidRPr="006A07D2">
              <w:rPr>
                <w:rFonts w:asciiTheme="minorHAnsi" w:hAnsiTheme="minorHAnsi"/>
                <w:b/>
                <w:color w:val="000000"/>
                <w:sz w:val="16"/>
              </w:rPr>
              <w:t>De konkrete satser fordelt på område (takster og maksimale lofter)</w:t>
            </w:r>
          </w:p>
        </w:tc>
      </w:tr>
      <w:tr w:rsidR="00CA3D3B" w:rsidRPr="006B745D" w:rsidTr="00FD3510">
        <w:tblPrEx>
          <w:tblCellMar>
            <w:left w:w="70" w:type="dxa"/>
            <w:right w:w="70" w:type="dxa"/>
          </w:tblCellMar>
        </w:tblPrEx>
        <w:tc>
          <w:tcPr>
            <w:tcW w:w="7513" w:type="dxa"/>
            <w:tcBorders>
              <w:top w:val="single" w:sz="4" w:space="0" w:color="auto"/>
              <w:left w:val="nil"/>
              <w:bottom w:val="single" w:sz="4" w:space="0" w:color="auto"/>
              <w:right w:val="single" w:sz="4" w:space="0" w:color="auto"/>
            </w:tcBorders>
            <w:shd w:val="clear" w:color="auto" w:fill="E9EFEC"/>
            <w:hideMark/>
          </w:tcPr>
          <w:p w:rsidR="00CA3D3B" w:rsidRPr="006B745D" w:rsidRDefault="00CA3D3B" w:rsidP="00FD3510">
            <w:pPr>
              <w:spacing w:line="240" w:lineRule="auto"/>
              <w:jc w:val="both"/>
              <w:rPr>
                <w:rFonts w:asciiTheme="minorHAnsi" w:hAnsiTheme="minorHAnsi"/>
                <w:sz w:val="14"/>
              </w:rPr>
            </w:pPr>
          </w:p>
        </w:tc>
      </w:tr>
      <w:tr w:rsidR="00CA3D3B" w:rsidRPr="006B745D" w:rsidTr="00FD3510">
        <w:tc>
          <w:tcPr>
            <w:tcW w:w="7513" w:type="dxa"/>
            <w:tcBorders>
              <w:top w:val="single" w:sz="4" w:space="0" w:color="auto"/>
              <w:left w:val="nil"/>
              <w:bottom w:val="single" w:sz="12" w:space="0" w:color="auto"/>
              <w:right w:val="nil"/>
            </w:tcBorders>
            <w:shd w:val="clear" w:color="auto" w:fill="E9EFEC"/>
            <w:vAlign w:val="center"/>
          </w:tcPr>
          <w:tbl>
            <w:tblPr>
              <w:tblW w:w="5000" w:type="pct"/>
              <w:shd w:val="clear" w:color="auto" w:fill="E9EFEC"/>
              <w:tblCellMar>
                <w:left w:w="0" w:type="dxa"/>
                <w:right w:w="0" w:type="dxa"/>
              </w:tblCellMar>
              <w:tblLook w:val="04A0" w:firstRow="1" w:lastRow="0" w:firstColumn="1" w:lastColumn="0" w:noHBand="0" w:noVBand="1"/>
            </w:tblPr>
            <w:tblGrid>
              <w:gridCol w:w="1543"/>
              <w:gridCol w:w="2104"/>
              <w:gridCol w:w="356"/>
              <w:gridCol w:w="3294"/>
            </w:tblGrid>
            <w:tr w:rsidR="00CA3D3B" w:rsidRPr="006B745D" w:rsidTr="00167571">
              <w:trPr>
                <w:trHeight w:val="20"/>
              </w:trPr>
              <w:tc>
                <w:tcPr>
                  <w:tcW w:w="1057" w:type="pct"/>
                  <w:tcBorders>
                    <w:bottom w:val="single" w:sz="8" w:space="0" w:color="auto"/>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sz w:val="14"/>
                      <w:szCs w:val="14"/>
                      <w:lang w:eastAsia="da-DK"/>
                    </w:rPr>
                  </w:pPr>
                </w:p>
              </w:tc>
              <w:tc>
                <w:tcPr>
                  <w:tcW w:w="1442" w:type="pct"/>
                  <w:tcBorders>
                    <w:bottom w:val="single" w:sz="8" w:space="0" w:color="auto"/>
                  </w:tcBorders>
                  <w:shd w:val="clear" w:color="auto" w:fill="E9EFEC"/>
                  <w:vAlign w:val="center"/>
                </w:tcPr>
                <w:p w:rsidR="00CA3D3B" w:rsidRPr="006B745D" w:rsidRDefault="00CA3D3B" w:rsidP="0017212C">
                  <w:pPr>
                    <w:spacing w:after="0"/>
                    <w:jc w:val="center"/>
                    <w:rPr>
                      <w:rFonts w:cs="Arial"/>
                      <w:b/>
                      <w:bCs/>
                      <w:sz w:val="14"/>
                      <w:szCs w:val="14"/>
                      <w:lang w:eastAsia="da-DK"/>
                    </w:rPr>
                  </w:pPr>
                  <w:r w:rsidRPr="006B745D">
                    <w:rPr>
                      <w:rFonts w:cs="Arial"/>
                      <w:b/>
                      <w:bCs/>
                      <w:sz w:val="14"/>
                      <w:szCs w:val="14"/>
                      <w:lang w:eastAsia="da-DK"/>
                    </w:rPr>
                    <w:t xml:space="preserve">Nuværende satser </w:t>
                  </w:r>
                </w:p>
              </w:tc>
              <w:tc>
                <w:tcPr>
                  <w:tcW w:w="2501" w:type="pct"/>
                  <w:gridSpan w:val="2"/>
                  <w:tcBorders>
                    <w:bottom w:val="single" w:sz="8" w:space="0" w:color="auto"/>
                  </w:tcBorders>
                  <w:shd w:val="clear" w:color="auto" w:fill="E9EFEC"/>
                  <w:tcMar>
                    <w:top w:w="0" w:type="dxa"/>
                    <w:left w:w="70" w:type="dxa"/>
                    <w:bottom w:w="0" w:type="dxa"/>
                    <w:right w:w="70" w:type="dxa"/>
                  </w:tcMar>
                  <w:vAlign w:val="center"/>
                  <w:hideMark/>
                </w:tcPr>
                <w:p w:rsidR="00CA3D3B" w:rsidRPr="006B745D" w:rsidRDefault="00CA3D3B" w:rsidP="0017212C">
                  <w:pPr>
                    <w:spacing w:after="0"/>
                    <w:jc w:val="center"/>
                    <w:rPr>
                      <w:rFonts w:cs="Arial"/>
                      <w:b/>
                      <w:bCs/>
                      <w:sz w:val="14"/>
                      <w:szCs w:val="14"/>
                      <w:lang w:eastAsia="da-DK"/>
                    </w:rPr>
                  </w:pPr>
                  <w:r w:rsidRPr="0017212C">
                    <w:rPr>
                      <w:rFonts w:cs="Arial"/>
                      <w:b/>
                      <w:bCs/>
                      <w:sz w:val="14"/>
                      <w:szCs w:val="14"/>
                      <w:lang w:eastAsia="da-DK"/>
                    </w:rPr>
                    <w:t xml:space="preserve">Nye satser </w:t>
                  </w:r>
                </w:p>
              </w:tc>
            </w:tr>
            <w:tr w:rsidR="00CA3D3B" w:rsidRPr="006B745D" w:rsidTr="00167571">
              <w:trPr>
                <w:trHeight w:val="103"/>
              </w:trPr>
              <w:tc>
                <w:tcPr>
                  <w:tcW w:w="1057"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line="240" w:lineRule="auto"/>
                    <w:jc w:val="both"/>
                    <w:rPr>
                      <w:rFonts w:cs="Arial"/>
                      <w:b/>
                      <w:bCs/>
                      <w:sz w:val="14"/>
                      <w:szCs w:val="14"/>
                      <w:lang w:eastAsia="da-DK"/>
                    </w:rPr>
                  </w:pPr>
                  <w:r w:rsidRPr="006B745D">
                    <w:rPr>
                      <w:rFonts w:cs="Arial"/>
                      <w:b/>
                      <w:bCs/>
                      <w:sz w:val="14"/>
                      <w:szCs w:val="14"/>
                      <w:lang w:eastAsia="da-DK"/>
                    </w:rPr>
                    <w:t>Somatik</w:t>
                  </w:r>
                </w:p>
              </w:tc>
              <w:tc>
                <w:tcPr>
                  <w:tcW w:w="1442" w:type="pct"/>
                  <w:tcBorders>
                    <w:top w:val="single" w:sz="8" w:space="0" w:color="auto"/>
                    <w:left w:val="nil"/>
                    <w:bottom w:val="single" w:sz="8" w:space="0" w:color="auto"/>
                    <w:right w:val="nil"/>
                  </w:tcBorders>
                  <w:shd w:val="clear" w:color="auto" w:fill="E9EFEC"/>
                  <w:vAlign w:val="center"/>
                </w:tcPr>
                <w:p w:rsidR="00CA3D3B" w:rsidRPr="006B745D" w:rsidRDefault="00CA3D3B" w:rsidP="00FD3510">
                  <w:pPr>
                    <w:spacing w:after="0"/>
                    <w:jc w:val="both"/>
                    <w:rPr>
                      <w:rFonts w:cs="Arial"/>
                      <w:color w:val="000000"/>
                      <w:sz w:val="14"/>
                      <w:szCs w:val="14"/>
                      <w:lang w:eastAsia="da-DK"/>
                    </w:rPr>
                  </w:pPr>
                </w:p>
              </w:tc>
              <w:tc>
                <w:tcPr>
                  <w:tcW w:w="2501" w:type="pct"/>
                  <w:gridSpan w:val="2"/>
                  <w:tcBorders>
                    <w:top w:val="single" w:sz="8"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p>
              </w:tc>
            </w:tr>
            <w:tr w:rsidR="00CA3D3B" w:rsidRPr="006B745D" w:rsidTr="0017212C">
              <w:trPr>
                <w:trHeight w:val="711"/>
              </w:trPr>
              <w:tc>
                <w:tcPr>
                  <w:tcW w:w="1057" w:type="pct"/>
                  <w:tcBorders>
                    <w:top w:val="single" w:sz="8" w:space="0" w:color="auto"/>
                    <w:bottom w:val="dashed" w:sz="4" w:space="0" w:color="auto"/>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stationær</w:t>
                  </w:r>
                </w:p>
              </w:tc>
              <w:tc>
                <w:tcPr>
                  <w:tcW w:w="1686" w:type="pct"/>
                  <w:gridSpan w:val="2"/>
                  <w:tcBorders>
                    <w:top w:val="single" w:sz="8" w:space="0" w:color="auto"/>
                    <w:bottom w:val="dashed" w:sz="4" w:space="0" w:color="auto"/>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34 pct. DRG, dog max 14.811 kr./indlæggelse</w:t>
                  </w:r>
                </w:p>
              </w:tc>
              <w:tc>
                <w:tcPr>
                  <w:tcW w:w="2257" w:type="pct"/>
                  <w:tcBorders>
                    <w:top w:val="single" w:sz="8" w:space="0" w:color="auto"/>
                    <w:bottom w:val="dashed" w:sz="4" w:space="0" w:color="auto"/>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 xml:space="preserve">45 pct. DRG, dog max </w:t>
                  </w:r>
                  <w:r w:rsidR="0093755C">
                    <w:rPr>
                      <w:rFonts w:cs="Arial"/>
                      <w:color w:val="000000"/>
                      <w:sz w:val="14"/>
                      <w:szCs w:val="14"/>
                      <w:lang w:eastAsia="da-DK"/>
                    </w:rPr>
                    <w:t xml:space="preserve">ca. </w:t>
                  </w:r>
                  <w:r w:rsidRPr="006B745D">
                    <w:rPr>
                      <w:rFonts w:cs="Arial"/>
                      <w:color w:val="000000"/>
                      <w:sz w:val="14"/>
                      <w:szCs w:val="14"/>
                      <w:lang w:eastAsia="da-DK"/>
                    </w:rPr>
                    <w:t>25.000 kr./indl. for 0-2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 xml:space="preserve">20 pct. DRG, dog max </w:t>
                  </w:r>
                  <w:r w:rsidR="0093755C">
                    <w:rPr>
                      <w:rFonts w:cs="Arial"/>
                      <w:color w:val="000000"/>
                      <w:sz w:val="14"/>
                      <w:szCs w:val="14"/>
                      <w:lang w:eastAsia="da-DK"/>
                    </w:rPr>
                    <w:t xml:space="preserve">ca. </w:t>
                  </w:r>
                  <w:r w:rsidRPr="006B745D">
                    <w:rPr>
                      <w:rFonts w:cs="Arial"/>
                      <w:color w:val="000000"/>
                      <w:sz w:val="14"/>
                      <w:szCs w:val="14"/>
                      <w:lang w:eastAsia="da-DK"/>
                    </w:rPr>
                    <w:t>15.000 kr./indl. for 3-64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 xml:space="preserve">45 pct. DRG, dog max </w:t>
                  </w:r>
                  <w:r w:rsidR="0093755C">
                    <w:rPr>
                      <w:rFonts w:cs="Arial"/>
                      <w:color w:val="000000"/>
                      <w:sz w:val="14"/>
                      <w:szCs w:val="14"/>
                      <w:lang w:eastAsia="da-DK"/>
                    </w:rPr>
                    <w:t xml:space="preserve">ca. </w:t>
                  </w:r>
                  <w:r w:rsidRPr="006B745D">
                    <w:rPr>
                      <w:rFonts w:cs="Arial"/>
                      <w:color w:val="000000"/>
                      <w:sz w:val="14"/>
                      <w:szCs w:val="14"/>
                      <w:lang w:eastAsia="da-DK"/>
                    </w:rPr>
                    <w:t>25.000 kr./indl. for 65-79 år</w:t>
                  </w:r>
                </w:p>
                <w:p w:rsidR="00CA3D3B" w:rsidRPr="006B745D" w:rsidRDefault="00D457E3" w:rsidP="00FD3510">
                  <w:pPr>
                    <w:spacing w:after="0"/>
                    <w:jc w:val="both"/>
                    <w:rPr>
                      <w:rFonts w:cs="Arial"/>
                      <w:color w:val="000000"/>
                      <w:sz w:val="14"/>
                      <w:szCs w:val="14"/>
                      <w:lang w:eastAsia="da-DK"/>
                    </w:rPr>
                  </w:pPr>
                  <w:r>
                    <w:rPr>
                      <w:rFonts w:cs="Arial"/>
                      <w:color w:val="000000"/>
                      <w:sz w:val="14"/>
                      <w:szCs w:val="14"/>
                      <w:lang w:eastAsia="da-DK"/>
                    </w:rPr>
                    <w:t>56</w:t>
                  </w:r>
                  <w:r w:rsidR="00CA3D3B" w:rsidRPr="006B745D">
                    <w:rPr>
                      <w:rFonts w:cs="Arial"/>
                      <w:color w:val="000000"/>
                      <w:sz w:val="14"/>
                      <w:szCs w:val="14"/>
                      <w:lang w:eastAsia="da-DK"/>
                    </w:rPr>
                    <w:t xml:space="preserve"> pct. DRG, dog max </w:t>
                  </w:r>
                  <w:r w:rsidR="0093755C">
                    <w:rPr>
                      <w:rFonts w:cs="Arial"/>
                      <w:color w:val="000000"/>
                      <w:sz w:val="14"/>
                      <w:szCs w:val="14"/>
                      <w:lang w:eastAsia="da-DK"/>
                    </w:rPr>
                    <w:t xml:space="preserve">ca. </w:t>
                  </w:r>
                  <w:r w:rsidR="00CA3D3B" w:rsidRPr="006B745D">
                    <w:rPr>
                      <w:rFonts w:cs="Arial"/>
                      <w:color w:val="000000"/>
                      <w:sz w:val="14"/>
                      <w:szCs w:val="14"/>
                      <w:lang w:eastAsia="da-DK"/>
                    </w:rPr>
                    <w:t>30.000 kr./indl. for +80 år</w:t>
                  </w:r>
                </w:p>
              </w:tc>
            </w:tr>
            <w:tr w:rsidR="00CA3D3B" w:rsidRPr="006B745D" w:rsidTr="0017212C">
              <w:trPr>
                <w:trHeight w:val="20"/>
              </w:trPr>
              <w:tc>
                <w:tcPr>
                  <w:tcW w:w="1057" w:type="pct"/>
                  <w:tcBorders>
                    <w:top w:val="dashed" w:sz="4" w:space="0" w:color="auto"/>
                    <w:bottom w:val="dashed" w:sz="4" w:space="0" w:color="auto"/>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ambulant</w:t>
                  </w:r>
                </w:p>
              </w:tc>
              <w:tc>
                <w:tcPr>
                  <w:tcW w:w="1686" w:type="pct"/>
                  <w:gridSpan w:val="2"/>
                  <w:tcBorders>
                    <w:top w:val="dashed" w:sz="4" w:space="0" w:color="auto"/>
                    <w:bottom w:val="dashed" w:sz="4" w:space="0" w:color="auto"/>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34 pct. DAGS, dog max 1.461 kr./besøg, max gråzone 14.811 kr.</w:t>
                  </w:r>
                </w:p>
              </w:tc>
              <w:tc>
                <w:tcPr>
                  <w:tcW w:w="2257" w:type="pct"/>
                  <w:tcBorders>
                    <w:top w:val="dashed" w:sz="4" w:space="0" w:color="auto"/>
                    <w:bottom w:val="dashed" w:sz="4" w:space="0" w:color="auto"/>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 xml:space="preserve">45 pct. DRG, dog max </w:t>
                  </w:r>
                  <w:r w:rsidR="0093755C">
                    <w:rPr>
                      <w:rFonts w:cs="Arial"/>
                      <w:color w:val="000000"/>
                      <w:sz w:val="14"/>
                      <w:szCs w:val="14"/>
                      <w:lang w:eastAsia="da-DK"/>
                    </w:rPr>
                    <w:t xml:space="preserve">ca. </w:t>
                  </w:r>
                  <w:r w:rsidRPr="006B745D">
                    <w:rPr>
                      <w:rFonts w:cs="Arial"/>
                      <w:color w:val="000000"/>
                      <w:sz w:val="14"/>
                      <w:szCs w:val="14"/>
                      <w:lang w:eastAsia="da-DK"/>
                    </w:rPr>
                    <w:t>2.</w:t>
                  </w:r>
                  <w:r w:rsidR="0093755C">
                    <w:rPr>
                      <w:rFonts w:cs="Arial"/>
                      <w:color w:val="000000"/>
                      <w:sz w:val="14"/>
                      <w:szCs w:val="14"/>
                      <w:lang w:eastAsia="da-DK"/>
                    </w:rPr>
                    <w:t>500</w:t>
                  </w:r>
                  <w:r w:rsidRPr="006B745D">
                    <w:rPr>
                      <w:rFonts w:cs="Arial"/>
                      <w:color w:val="000000"/>
                      <w:sz w:val="14"/>
                      <w:szCs w:val="14"/>
                      <w:lang w:eastAsia="da-DK"/>
                    </w:rPr>
                    <w:t xml:space="preserve"> kr./besøg for 0-2 år</w:t>
                  </w:r>
                </w:p>
                <w:p w:rsidR="00CA3D3B" w:rsidRPr="006B745D" w:rsidRDefault="00D457E3" w:rsidP="00FD3510">
                  <w:pPr>
                    <w:spacing w:after="0"/>
                    <w:jc w:val="both"/>
                    <w:rPr>
                      <w:rFonts w:cs="Arial"/>
                      <w:color w:val="000000"/>
                      <w:sz w:val="14"/>
                      <w:szCs w:val="14"/>
                      <w:lang w:eastAsia="da-DK"/>
                    </w:rPr>
                  </w:pPr>
                  <w:r>
                    <w:rPr>
                      <w:rFonts w:cs="Arial"/>
                      <w:color w:val="000000"/>
                      <w:sz w:val="14"/>
                      <w:szCs w:val="14"/>
                      <w:lang w:eastAsia="da-DK"/>
                    </w:rPr>
                    <w:t xml:space="preserve">20 pct. DRG, dog max </w:t>
                  </w:r>
                  <w:r w:rsidR="0093755C">
                    <w:rPr>
                      <w:rFonts w:cs="Arial"/>
                      <w:color w:val="000000"/>
                      <w:sz w:val="14"/>
                      <w:szCs w:val="14"/>
                      <w:lang w:eastAsia="da-DK"/>
                    </w:rPr>
                    <w:t xml:space="preserve">ca. </w:t>
                  </w:r>
                  <w:r>
                    <w:rPr>
                      <w:rFonts w:cs="Arial"/>
                      <w:color w:val="000000"/>
                      <w:sz w:val="14"/>
                      <w:szCs w:val="14"/>
                      <w:lang w:eastAsia="da-DK"/>
                    </w:rPr>
                    <w:t>1.</w:t>
                  </w:r>
                  <w:r w:rsidR="0093755C">
                    <w:rPr>
                      <w:rFonts w:cs="Arial"/>
                      <w:color w:val="000000"/>
                      <w:sz w:val="14"/>
                      <w:szCs w:val="14"/>
                      <w:lang w:eastAsia="da-DK"/>
                    </w:rPr>
                    <w:t>500</w:t>
                  </w:r>
                  <w:r w:rsidR="00CA3D3B" w:rsidRPr="006B745D">
                    <w:rPr>
                      <w:rFonts w:cs="Arial"/>
                      <w:color w:val="000000"/>
                      <w:sz w:val="14"/>
                      <w:szCs w:val="14"/>
                      <w:lang w:eastAsia="da-DK"/>
                    </w:rPr>
                    <w:t xml:space="preserve"> kr./ besøg for 3-64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45 pct.</w:t>
                  </w:r>
                  <w:r w:rsidR="00167571">
                    <w:rPr>
                      <w:rFonts w:cs="Arial"/>
                      <w:color w:val="000000"/>
                      <w:sz w:val="14"/>
                      <w:szCs w:val="14"/>
                      <w:lang w:eastAsia="da-DK"/>
                    </w:rPr>
                    <w:t xml:space="preserve"> DRG, dog max </w:t>
                  </w:r>
                  <w:r w:rsidR="0093755C">
                    <w:rPr>
                      <w:rFonts w:cs="Arial"/>
                      <w:color w:val="000000"/>
                      <w:sz w:val="14"/>
                      <w:szCs w:val="14"/>
                      <w:lang w:eastAsia="da-DK"/>
                    </w:rPr>
                    <w:t xml:space="preserve">ca. </w:t>
                  </w:r>
                  <w:r w:rsidR="00167571">
                    <w:rPr>
                      <w:rFonts w:cs="Arial"/>
                      <w:color w:val="000000"/>
                      <w:sz w:val="14"/>
                      <w:szCs w:val="14"/>
                      <w:lang w:eastAsia="da-DK"/>
                    </w:rPr>
                    <w:t>2.</w:t>
                  </w:r>
                  <w:r w:rsidR="0093755C">
                    <w:rPr>
                      <w:rFonts w:cs="Arial"/>
                      <w:color w:val="000000"/>
                      <w:sz w:val="14"/>
                      <w:szCs w:val="14"/>
                      <w:lang w:eastAsia="da-DK"/>
                    </w:rPr>
                    <w:t>500</w:t>
                  </w:r>
                  <w:r w:rsidRPr="006B745D">
                    <w:rPr>
                      <w:rFonts w:cs="Arial"/>
                      <w:color w:val="000000"/>
                      <w:sz w:val="14"/>
                      <w:szCs w:val="14"/>
                      <w:lang w:eastAsia="da-DK"/>
                    </w:rPr>
                    <w:t xml:space="preserve"> kr./ besøg for 65-79 år</w:t>
                  </w:r>
                </w:p>
                <w:p w:rsidR="00CA3D3B" w:rsidRPr="006B745D" w:rsidRDefault="00CA3D3B" w:rsidP="00D457E3">
                  <w:pPr>
                    <w:spacing w:after="0"/>
                    <w:jc w:val="both"/>
                    <w:rPr>
                      <w:rFonts w:cs="Arial"/>
                      <w:color w:val="000000"/>
                      <w:sz w:val="14"/>
                      <w:szCs w:val="14"/>
                      <w:lang w:eastAsia="da-DK"/>
                    </w:rPr>
                  </w:pPr>
                  <w:r w:rsidRPr="006B745D">
                    <w:rPr>
                      <w:rFonts w:cs="Arial"/>
                      <w:color w:val="000000"/>
                      <w:sz w:val="14"/>
                      <w:szCs w:val="14"/>
                      <w:lang w:eastAsia="da-DK"/>
                    </w:rPr>
                    <w:t>5</w:t>
                  </w:r>
                  <w:r w:rsidR="00D457E3">
                    <w:rPr>
                      <w:rFonts w:cs="Arial"/>
                      <w:color w:val="000000"/>
                      <w:sz w:val="14"/>
                      <w:szCs w:val="14"/>
                      <w:lang w:eastAsia="da-DK"/>
                    </w:rPr>
                    <w:t>6</w:t>
                  </w:r>
                  <w:r w:rsidR="00167571">
                    <w:rPr>
                      <w:rFonts w:cs="Arial"/>
                      <w:color w:val="000000"/>
                      <w:sz w:val="14"/>
                      <w:szCs w:val="14"/>
                      <w:lang w:eastAsia="da-DK"/>
                    </w:rPr>
                    <w:t xml:space="preserve"> pct. DRG, dog max </w:t>
                  </w:r>
                  <w:r w:rsidR="0093755C">
                    <w:rPr>
                      <w:rFonts w:cs="Arial"/>
                      <w:color w:val="000000"/>
                      <w:sz w:val="14"/>
                      <w:szCs w:val="14"/>
                      <w:lang w:eastAsia="da-DK"/>
                    </w:rPr>
                    <w:t>ca. 3.000</w:t>
                  </w:r>
                  <w:r w:rsidRPr="006B745D">
                    <w:rPr>
                      <w:rFonts w:cs="Arial"/>
                      <w:color w:val="000000"/>
                      <w:sz w:val="14"/>
                      <w:szCs w:val="14"/>
                      <w:lang w:eastAsia="da-DK"/>
                    </w:rPr>
                    <w:t xml:space="preserve"> kr./ besøg for +80 år</w:t>
                  </w:r>
                </w:p>
              </w:tc>
            </w:tr>
            <w:tr w:rsidR="00CA3D3B" w:rsidRPr="006B745D" w:rsidTr="0017212C">
              <w:trPr>
                <w:trHeight w:val="20"/>
              </w:trPr>
              <w:tc>
                <w:tcPr>
                  <w:tcW w:w="10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genoptræning under indlæggelse</w:t>
                  </w:r>
                </w:p>
              </w:tc>
              <w:tc>
                <w:tcPr>
                  <w:tcW w:w="1686" w:type="pct"/>
                  <w:gridSpan w:val="2"/>
                  <w:tcBorders>
                    <w:top w:val="dashed" w:sz="4" w:space="0" w:color="auto"/>
                    <w:left w:val="nil"/>
                    <w:bottom w:val="single" w:sz="8"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70 pct. af genoptræningstakst</w:t>
                  </w:r>
                </w:p>
              </w:tc>
              <w:tc>
                <w:tcPr>
                  <w:tcW w:w="22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Uændret</w:t>
                  </w:r>
                </w:p>
              </w:tc>
            </w:tr>
            <w:tr w:rsidR="00CA3D3B" w:rsidRPr="006B745D" w:rsidTr="0017212C">
              <w:trPr>
                <w:trHeight w:val="20"/>
              </w:trPr>
              <w:tc>
                <w:tcPr>
                  <w:tcW w:w="1057" w:type="pct"/>
                  <w:shd w:val="clear" w:color="auto" w:fill="E9EFEC"/>
                  <w:tcMar>
                    <w:top w:w="0" w:type="dxa"/>
                    <w:left w:w="70" w:type="dxa"/>
                    <w:bottom w:w="0" w:type="dxa"/>
                    <w:right w:w="70" w:type="dxa"/>
                  </w:tcMar>
                  <w:vAlign w:val="center"/>
                  <w:hideMark/>
                </w:tcPr>
                <w:p w:rsidR="00CA3D3B" w:rsidRPr="006B745D" w:rsidRDefault="00CA3D3B" w:rsidP="00167571">
                  <w:pPr>
                    <w:spacing w:after="0" w:line="240" w:lineRule="auto"/>
                    <w:rPr>
                      <w:rFonts w:cs="Arial"/>
                      <w:b/>
                      <w:bCs/>
                      <w:sz w:val="14"/>
                      <w:szCs w:val="14"/>
                      <w:lang w:eastAsia="da-DK"/>
                    </w:rPr>
                  </w:pPr>
                  <w:r w:rsidRPr="006B745D">
                    <w:rPr>
                      <w:rFonts w:cs="Arial"/>
                      <w:b/>
                      <w:bCs/>
                      <w:sz w:val="14"/>
                      <w:szCs w:val="14"/>
                      <w:lang w:eastAsia="da-DK"/>
                    </w:rPr>
                    <w:t>Praksissektoren</w:t>
                  </w:r>
                </w:p>
              </w:tc>
              <w:tc>
                <w:tcPr>
                  <w:tcW w:w="1686" w:type="pct"/>
                  <w:gridSpan w:val="2"/>
                  <w:shd w:val="clear" w:color="auto" w:fill="E9EFEC"/>
                  <w:vAlign w:val="center"/>
                </w:tcPr>
                <w:p w:rsidR="00CA3D3B" w:rsidRPr="006B745D" w:rsidRDefault="00CA3D3B" w:rsidP="00167571">
                  <w:pPr>
                    <w:spacing w:after="0"/>
                    <w:rPr>
                      <w:rFonts w:cs="Arial"/>
                      <w:sz w:val="14"/>
                      <w:szCs w:val="14"/>
                      <w:lang w:eastAsia="da-DK"/>
                    </w:rPr>
                  </w:pPr>
                </w:p>
              </w:tc>
              <w:tc>
                <w:tcPr>
                  <w:tcW w:w="2257" w:type="pct"/>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sz w:val="14"/>
                      <w:szCs w:val="14"/>
                      <w:lang w:eastAsia="da-DK"/>
                    </w:rPr>
                  </w:pPr>
                </w:p>
              </w:tc>
            </w:tr>
            <w:tr w:rsidR="00CA3D3B" w:rsidRPr="006B745D" w:rsidTr="0017212C">
              <w:trPr>
                <w:trHeight w:val="20"/>
              </w:trPr>
              <w:tc>
                <w:tcPr>
                  <w:tcW w:w="1057"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speciallæger</w:t>
                  </w:r>
                </w:p>
              </w:tc>
              <w:tc>
                <w:tcPr>
                  <w:tcW w:w="1686" w:type="pct"/>
                  <w:gridSpan w:val="2"/>
                  <w:tcBorders>
                    <w:top w:val="single" w:sz="8" w:space="0" w:color="auto"/>
                    <w:left w:val="nil"/>
                    <w:bottom w:val="dashed" w:sz="4"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34 pct. af honorarer, max 1.461 kr./ydelse</w:t>
                  </w:r>
                </w:p>
              </w:tc>
              <w:tc>
                <w:tcPr>
                  <w:tcW w:w="2257"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45 pct. DRG, dog max 25.000 kr./indl. for 0-2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20 pct. DRG, dog max 15.000 kr./indl. for 3-64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45 pct. DRG, dog max 25.000 kr./indl. for 65-79 år</w:t>
                  </w:r>
                </w:p>
                <w:p w:rsidR="00CA3D3B" w:rsidRPr="006B745D" w:rsidRDefault="00CA3D3B" w:rsidP="00D457E3">
                  <w:pPr>
                    <w:spacing w:after="0"/>
                    <w:jc w:val="both"/>
                    <w:rPr>
                      <w:rFonts w:cs="Arial"/>
                      <w:color w:val="000000"/>
                      <w:sz w:val="14"/>
                      <w:szCs w:val="14"/>
                      <w:lang w:eastAsia="da-DK"/>
                    </w:rPr>
                  </w:pPr>
                  <w:r w:rsidRPr="006B745D">
                    <w:rPr>
                      <w:rFonts w:cs="Arial"/>
                      <w:color w:val="000000"/>
                      <w:sz w:val="14"/>
                      <w:szCs w:val="14"/>
                      <w:lang w:eastAsia="da-DK"/>
                    </w:rPr>
                    <w:t>5</w:t>
                  </w:r>
                  <w:r w:rsidR="00D457E3">
                    <w:rPr>
                      <w:rFonts w:cs="Arial"/>
                      <w:color w:val="000000"/>
                      <w:sz w:val="14"/>
                      <w:szCs w:val="14"/>
                      <w:lang w:eastAsia="da-DK"/>
                    </w:rPr>
                    <w:t>6</w:t>
                  </w:r>
                  <w:r w:rsidRPr="006B745D">
                    <w:rPr>
                      <w:rFonts w:cs="Arial"/>
                      <w:color w:val="000000"/>
                      <w:sz w:val="14"/>
                      <w:szCs w:val="14"/>
                      <w:lang w:eastAsia="da-DK"/>
                    </w:rPr>
                    <w:t xml:space="preserve"> pct. DRG, dog max 30.000 kr./indl. for +80 år</w:t>
                  </w:r>
                </w:p>
              </w:tc>
            </w:tr>
            <w:tr w:rsidR="00CA3D3B" w:rsidRPr="006B745D" w:rsidTr="0017212C">
              <w:trPr>
                <w:trHeight w:val="20"/>
              </w:trPr>
              <w:tc>
                <w:tcPr>
                  <w:tcW w:w="1057" w:type="pct"/>
                  <w:tcBorders>
                    <w:top w:val="dashed" w:sz="4" w:space="0" w:color="auto"/>
                    <w:bottom w:val="dashed" w:sz="4" w:space="0" w:color="auto"/>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almen læger</w:t>
                  </w:r>
                </w:p>
              </w:tc>
              <w:tc>
                <w:tcPr>
                  <w:tcW w:w="1686" w:type="pct"/>
                  <w:gridSpan w:val="2"/>
                  <w:tcBorders>
                    <w:top w:val="dashed" w:sz="4" w:space="0" w:color="auto"/>
                    <w:bottom w:val="dashed" w:sz="4" w:space="0" w:color="auto"/>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10 pct. af honorarer på grundydelse</w:t>
                  </w:r>
                </w:p>
              </w:tc>
              <w:tc>
                <w:tcPr>
                  <w:tcW w:w="2257" w:type="pct"/>
                  <w:tcBorders>
                    <w:top w:val="dashed" w:sz="4" w:space="0" w:color="auto"/>
                    <w:bottom w:val="dashed" w:sz="4" w:space="0" w:color="auto"/>
                  </w:tcBorders>
                  <w:shd w:val="clear" w:color="auto" w:fill="E9EFEC"/>
                  <w:tcMar>
                    <w:top w:w="0" w:type="dxa"/>
                    <w:left w:w="70" w:type="dxa"/>
                    <w:bottom w:w="0" w:type="dxa"/>
                    <w:right w:w="70" w:type="dxa"/>
                  </w:tcMar>
                  <w:vAlign w:val="center"/>
                </w:tcPr>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14</w:t>
                  </w:r>
                  <w:r w:rsidR="00CA3D3B" w:rsidRPr="006B745D">
                    <w:rPr>
                      <w:rFonts w:cs="Arial"/>
                      <w:color w:val="000000"/>
                      <w:sz w:val="14"/>
                      <w:szCs w:val="14"/>
                      <w:lang w:eastAsia="da-DK"/>
                    </w:rPr>
                    <w:t xml:space="preserve"> pct. af honorarer på grundydelse for 0-2 år</w:t>
                  </w:r>
                </w:p>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7</w:t>
                  </w:r>
                  <w:r w:rsidR="00CA3D3B" w:rsidRPr="006B745D">
                    <w:rPr>
                      <w:rFonts w:cs="Arial"/>
                      <w:color w:val="000000"/>
                      <w:sz w:val="14"/>
                      <w:szCs w:val="14"/>
                      <w:lang w:eastAsia="da-DK"/>
                    </w:rPr>
                    <w:t xml:space="preserve"> pct. af honorarer på grundydelse for 3-64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1</w:t>
                  </w:r>
                  <w:r w:rsidR="00167571">
                    <w:rPr>
                      <w:rFonts w:cs="Arial"/>
                      <w:color w:val="000000"/>
                      <w:sz w:val="14"/>
                      <w:szCs w:val="14"/>
                      <w:lang w:eastAsia="da-DK"/>
                    </w:rPr>
                    <w:t>4</w:t>
                  </w:r>
                  <w:r w:rsidRPr="006B745D">
                    <w:rPr>
                      <w:rFonts w:cs="Arial"/>
                      <w:color w:val="000000"/>
                      <w:sz w:val="14"/>
                      <w:szCs w:val="14"/>
                      <w:lang w:eastAsia="da-DK"/>
                    </w:rPr>
                    <w:t xml:space="preserve"> pct. af honorarer på grundydelse for 65-79 år</w:t>
                  </w:r>
                </w:p>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18</w:t>
                  </w:r>
                  <w:r w:rsidR="00CA3D3B" w:rsidRPr="006B745D">
                    <w:rPr>
                      <w:rFonts w:cs="Arial"/>
                      <w:color w:val="000000"/>
                      <w:sz w:val="14"/>
                      <w:szCs w:val="14"/>
                      <w:lang w:eastAsia="da-DK"/>
                    </w:rPr>
                    <w:t xml:space="preserve"> pct. af honorarer på grundydelse for +80 år</w:t>
                  </w:r>
                </w:p>
              </w:tc>
            </w:tr>
            <w:tr w:rsidR="00CA3D3B" w:rsidRPr="006B745D" w:rsidTr="0017212C">
              <w:trPr>
                <w:trHeight w:val="20"/>
              </w:trPr>
              <w:tc>
                <w:tcPr>
                  <w:tcW w:w="10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fysioterapi, tandlæger, fodterapi, psykolog, kiropraktor</w:t>
                  </w:r>
                </w:p>
              </w:tc>
              <w:tc>
                <w:tcPr>
                  <w:tcW w:w="1686" w:type="pct"/>
                  <w:gridSpan w:val="2"/>
                  <w:tcBorders>
                    <w:top w:val="dashed" w:sz="4" w:space="0" w:color="auto"/>
                    <w:left w:val="nil"/>
                    <w:bottom w:val="single" w:sz="8"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10 pct. af honorarer</w:t>
                  </w:r>
                </w:p>
              </w:tc>
              <w:tc>
                <w:tcPr>
                  <w:tcW w:w="22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tcPr>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14</w:t>
                  </w:r>
                  <w:r w:rsidR="00CA3D3B" w:rsidRPr="006B745D">
                    <w:rPr>
                      <w:rFonts w:cs="Arial"/>
                      <w:color w:val="000000"/>
                      <w:sz w:val="14"/>
                      <w:szCs w:val="14"/>
                      <w:lang w:eastAsia="da-DK"/>
                    </w:rPr>
                    <w:t xml:space="preserve"> pct. af honorarer for 0-2 år</w:t>
                  </w:r>
                </w:p>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7</w:t>
                  </w:r>
                  <w:r w:rsidR="00CA3D3B" w:rsidRPr="006B745D">
                    <w:rPr>
                      <w:rFonts w:cs="Arial"/>
                      <w:color w:val="000000"/>
                      <w:sz w:val="14"/>
                      <w:szCs w:val="14"/>
                      <w:lang w:eastAsia="da-DK"/>
                    </w:rPr>
                    <w:t xml:space="preserve"> pct. af honorarer for 3-64 år</w:t>
                  </w:r>
                </w:p>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1</w:t>
                  </w:r>
                  <w:r w:rsidR="00167571">
                    <w:rPr>
                      <w:rFonts w:cs="Arial"/>
                      <w:color w:val="000000"/>
                      <w:sz w:val="14"/>
                      <w:szCs w:val="14"/>
                      <w:lang w:eastAsia="da-DK"/>
                    </w:rPr>
                    <w:t>4</w:t>
                  </w:r>
                  <w:r w:rsidRPr="006B745D">
                    <w:rPr>
                      <w:rFonts w:cs="Arial"/>
                      <w:color w:val="000000"/>
                      <w:sz w:val="14"/>
                      <w:szCs w:val="14"/>
                      <w:lang w:eastAsia="da-DK"/>
                    </w:rPr>
                    <w:t xml:space="preserve"> pct. af honorarer for 65-79 år</w:t>
                  </w:r>
                </w:p>
                <w:p w:rsidR="00CA3D3B" w:rsidRPr="006B745D" w:rsidRDefault="00167571" w:rsidP="00FD3510">
                  <w:pPr>
                    <w:spacing w:after="0"/>
                    <w:jc w:val="both"/>
                    <w:rPr>
                      <w:rFonts w:cs="Arial"/>
                      <w:color w:val="000000"/>
                      <w:sz w:val="14"/>
                      <w:szCs w:val="14"/>
                      <w:lang w:eastAsia="da-DK"/>
                    </w:rPr>
                  </w:pPr>
                  <w:r>
                    <w:rPr>
                      <w:rFonts w:cs="Arial"/>
                      <w:color w:val="000000"/>
                      <w:sz w:val="14"/>
                      <w:szCs w:val="14"/>
                      <w:lang w:eastAsia="da-DK"/>
                    </w:rPr>
                    <w:t>18</w:t>
                  </w:r>
                  <w:r w:rsidR="00CA3D3B" w:rsidRPr="006B745D">
                    <w:rPr>
                      <w:rFonts w:cs="Arial"/>
                      <w:color w:val="000000"/>
                      <w:sz w:val="14"/>
                      <w:szCs w:val="14"/>
                      <w:lang w:eastAsia="da-DK"/>
                    </w:rPr>
                    <w:t xml:space="preserve"> pct. af honorarer for +80 år</w:t>
                  </w:r>
                </w:p>
              </w:tc>
            </w:tr>
            <w:tr w:rsidR="00CA3D3B" w:rsidRPr="006B745D" w:rsidTr="0017212C">
              <w:trPr>
                <w:trHeight w:val="20"/>
              </w:trPr>
              <w:tc>
                <w:tcPr>
                  <w:tcW w:w="1057" w:type="pct"/>
                  <w:tcBorders>
                    <w:top w:val="nil"/>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line="240" w:lineRule="auto"/>
                    <w:rPr>
                      <w:rFonts w:cs="Arial"/>
                      <w:color w:val="000000"/>
                      <w:sz w:val="14"/>
                      <w:szCs w:val="14"/>
                      <w:lang w:eastAsia="da-DK"/>
                    </w:rPr>
                  </w:pPr>
                  <w:r w:rsidRPr="006B745D">
                    <w:rPr>
                      <w:rFonts w:cs="Arial"/>
                      <w:b/>
                      <w:color w:val="000000"/>
                      <w:sz w:val="14"/>
                      <w:szCs w:val="14"/>
                      <w:lang w:eastAsia="da-DK"/>
                    </w:rPr>
                    <w:t>Psykiatri</w:t>
                  </w:r>
                </w:p>
              </w:tc>
              <w:tc>
                <w:tcPr>
                  <w:tcW w:w="1686" w:type="pct"/>
                  <w:gridSpan w:val="2"/>
                  <w:tcBorders>
                    <w:top w:val="nil"/>
                    <w:left w:val="nil"/>
                    <w:bottom w:val="single" w:sz="8"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p>
              </w:tc>
              <w:tc>
                <w:tcPr>
                  <w:tcW w:w="2257" w:type="pct"/>
                  <w:tcBorders>
                    <w:top w:val="nil"/>
                    <w:left w:val="nil"/>
                    <w:bottom w:val="single" w:sz="8" w:space="0" w:color="auto"/>
                    <w:right w:val="nil"/>
                  </w:tcBorders>
                  <w:shd w:val="clear" w:color="auto" w:fill="E9EFEC"/>
                  <w:tcMar>
                    <w:top w:w="0" w:type="dxa"/>
                    <w:left w:w="70" w:type="dxa"/>
                    <w:bottom w:w="0" w:type="dxa"/>
                    <w:right w:w="70" w:type="dxa"/>
                  </w:tcMar>
                  <w:vAlign w:val="center"/>
                </w:tcPr>
                <w:p w:rsidR="00CA3D3B" w:rsidRPr="006B745D" w:rsidRDefault="00CA3D3B" w:rsidP="00FD3510">
                  <w:pPr>
                    <w:spacing w:after="0"/>
                    <w:jc w:val="both"/>
                    <w:rPr>
                      <w:rFonts w:cs="Arial"/>
                      <w:color w:val="000000"/>
                      <w:sz w:val="14"/>
                      <w:szCs w:val="14"/>
                      <w:lang w:eastAsia="da-DK"/>
                    </w:rPr>
                  </w:pPr>
                </w:p>
              </w:tc>
            </w:tr>
            <w:tr w:rsidR="00CA3D3B" w:rsidRPr="006B745D" w:rsidTr="0017212C">
              <w:trPr>
                <w:trHeight w:val="20"/>
              </w:trPr>
              <w:tc>
                <w:tcPr>
                  <w:tcW w:w="1057"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stationær</w:t>
                  </w:r>
                </w:p>
              </w:tc>
              <w:tc>
                <w:tcPr>
                  <w:tcW w:w="1686" w:type="pct"/>
                  <w:gridSpan w:val="2"/>
                  <w:tcBorders>
                    <w:top w:val="single" w:sz="8" w:space="0" w:color="auto"/>
                    <w:left w:val="nil"/>
                    <w:bottom w:val="dashed" w:sz="4"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60 pct. af sengedagstakst, max 8.568 kr./indlæggelse</w:t>
                  </w:r>
                </w:p>
              </w:tc>
              <w:tc>
                <w:tcPr>
                  <w:tcW w:w="2257" w:type="pct"/>
                  <w:tcBorders>
                    <w:top w:val="single" w:sz="8" w:space="0" w:color="auto"/>
                    <w:left w:val="nil"/>
                    <w:bottom w:val="dashed" w:sz="4"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Uændret</w:t>
                  </w:r>
                </w:p>
              </w:tc>
            </w:tr>
            <w:tr w:rsidR="00CA3D3B" w:rsidRPr="006B745D" w:rsidTr="0017212C">
              <w:trPr>
                <w:trHeight w:val="20"/>
              </w:trPr>
              <w:tc>
                <w:tcPr>
                  <w:tcW w:w="10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 ambulant</w:t>
                  </w:r>
                </w:p>
              </w:tc>
              <w:tc>
                <w:tcPr>
                  <w:tcW w:w="1686" w:type="pct"/>
                  <w:gridSpan w:val="2"/>
                  <w:tcBorders>
                    <w:top w:val="dashed" w:sz="4" w:space="0" w:color="auto"/>
                    <w:left w:val="nil"/>
                    <w:bottom w:val="single" w:sz="8" w:space="0" w:color="auto"/>
                    <w:right w:val="nil"/>
                  </w:tcBorders>
                  <w:shd w:val="clear" w:color="auto" w:fill="E9EFEC"/>
                  <w:vAlign w:val="center"/>
                </w:tcPr>
                <w:p w:rsidR="00CA3D3B" w:rsidRPr="006B745D" w:rsidRDefault="00CA3D3B" w:rsidP="00167571">
                  <w:pPr>
                    <w:spacing w:after="0"/>
                    <w:rPr>
                      <w:rFonts w:cs="Arial"/>
                      <w:color w:val="000000"/>
                      <w:sz w:val="14"/>
                      <w:szCs w:val="14"/>
                      <w:lang w:eastAsia="da-DK"/>
                    </w:rPr>
                  </w:pPr>
                  <w:r w:rsidRPr="006B745D">
                    <w:rPr>
                      <w:rFonts w:cs="Arial"/>
                      <w:color w:val="000000"/>
                      <w:sz w:val="14"/>
                      <w:szCs w:val="14"/>
                      <w:lang w:eastAsia="da-DK"/>
                    </w:rPr>
                    <w:t>30 pct. af besøgstakst</w:t>
                  </w:r>
                </w:p>
              </w:tc>
              <w:tc>
                <w:tcPr>
                  <w:tcW w:w="2257" w:type="pct"/>
                  <w:tcBorders>
                    <w:top w:val="dashed" w:sz="4" w:space="0" w:color="auto"/>
                    <w:left w:val="nil"/>
                    <w:bottom w:val="single" w:sz="8" w:space="0" w:color="auto"/>
                    <w:right w:val="nil"/>
                  </w:tcBorders>
                  <w:shd w:val="clear" w:color="auto" w:fill="E9EFEC"/>
                  <w:tcMar>
                    <w:top w:w="0" w:type="dxa"/>
                    <w:left w:w="70" w:type="dxa"/>
                    <w:bottom w:w="0" w:type="dxa"/>
                    <w:right w:w="70" w:type="dxa"/>
                  </w:tcMar>
                  <w:vAlign w:val="center"/>
                  <w:hideMark/>
                </w:tcPr>
                <w:p w:rsidR="00CA3D3B" w:rsidRPr="006B745D" w:rsidRDefault="00CA3D3B" w:rsidP="00FD3510">
                  <w:pPr>
                    <w:spacing w:after="0"/>
                    <w:jc w:val="both"/>
                    <w:rPr>
                      <w:rFonts w:cs="Arial"/>
                      <w:color w:val="000000"/>
                      <w:sz w:val="14"/>
                      <w:szCs w:val="14"/>
                      <w:lang w:eastAsia="da-DK"/>
                    </w:rPr>
                  </w:pPr>
                  <w:r w:rsidRPr="006B745D">
                    <w:rPr>
                      <w:rFonts w:cs="Arial"/>
                      <w:color w:val="000000"/>
                      <w:sz w:val="14"/>
                      <w:szCs w:val="14"/>
                      <w:lang w:eastAsia="da-DK"/>
                    </w:rPr>
                    <w:t>Uændret</w:t>
                  </w:r>
                </w:p>
              </w:tc>
            </w:tr>
          </w:tbl>
          <w:p w:rsidR="00CA3D3B" w:rsidRPr="006B745D" w:rsidRDefault="00CA3D3B" w:rsidP="00FD3510">
            <w:pPr>
              <w:spacing w:line="240" w:lineRule="auto"/>
              <w:jc w:val="both"/>
              <w:rPr>
                <w:rFonts w:asciiTheme="minorHAnsi" w:hAnsiTheme="minorHAnsi"/>
                <w:sz w:val="12"/>
              </w:rPr>
            </w:pPr>
          </w:p>
        </w:tc>
      </w:tr>
    </w:tbl>
    <w:p w:rsidR="00351954" w:rsidRDefault="00351954" w:rsidP="00F21D96">
      <w:pPr>
        <w:spacing w:after="0"/>
        <w:jc w:val="both"/>
        <w:rPr>
          <w:rFonts w:ascii="Garamond" w:hAnsi="Garamond"/>
          <w:sz w:val="24"/>
          <w:szCs w:val="24"/>
        </w:rPr>
      </w:pPr>
    </w:p>
    <w:p w:rsidR="0011669B" w:rsidRPr="00B30869" w:rsidRDefault="0011669B" w:rsidP="00013753">
      <w:pPr>
        <w:jc w:val="both"/>
        <w:rPr>
          <w:rFonts w:ascii="Garamond" w:hAnsi="Garamond"/>
          <w:sz w:val="24"/>
          <w:szCs w:val="24"/>
        </w:rPr>
      </w:pPr>
      <w:r w:rsidRPr="00B30869">
        <w:rPr>
          <w:rFonts w:ascii="Garamond" w:hAnsi="Garamond"/>
          <w:sz w:val="24"/>
          <w:szCs w:val="24"/>
        </w:rPr>
        <w:t>En aldersdiff</w:t>
      </w:r>
      <w:r w:rsidR="00757971" w:rsidRPr="00B30869">
        <w:rPr>
          <w:rFonts w:ascii="Garamond" w:hAnsi="Garamond"/>
          <w:sz w:val="24"/>
          <w:szCs w:val="24"/>
        </w:rPr>
        <w:t>erentiering</w:t>
      </w:r>
      <w:r w:rsidRPr="00B30869">
        <w:rPr>
          <w:rFonts w:ascii="Garamond" w:hAnsi="Garamond"/>
          <w:sz w:val="24"/>
          <w:szCs w:val="24"/>
        </w:rPr>
        <w:t xml:space="preserve"> vil skabe større sammenhæng mellem kommunernes afregning af KMF og påvirknings</w:t>
      </w:r>
      <w:r w:rsidR="00757971" w:rsidRPr="00B30869">
        <w:rPr>
          <w:rFonts w:ascii="Garamond" w:hAnsi="Garamond"/>
          <w:sz w:val="24"/>
          <w:szCs w:val="24"/>
        </w:rPr>
        <w:t>m</w:t>
      </w:r>
      <w:r w:rsidRPr="00B30869">
        <w:rPr>
          <w:rFonts w:ascii="Garamond" w:hAnsi="Garamond"/>
          <w:sz w:val="24"/>
          <w:szCs w:val="24"/>
        </w:rPr>
        <w:t>uligheder. Differentier</w:t>
      </w:r>
      <w:r w:rsidR="00757971" w:rsidRPr="00B30869">
        <w:rPr>
          <w:rFonts w:ascii="Garamond" w:hAnsi="Garamond"/>
          <w:sz w:val="24"/>
          <w:szCs w:val="24"/>
        </w:rPr>
        <w:t xml:space="preserve">ingen </w:t>
      </w:r>
      <w:r w:rsidRPr="00B30869">
        <w:rPr>
          <w:rFonts w:ascii="Garamond" w:hAnsi="Garamond"/>
          <w:sz w:val="24"/>
          <w:szCs w:val="24"/>
        </w:rPr>
        <w:t>vil isoleret set alt andet lige give regionerne incitament til at prioritere behandlinger, hvor de opnår størst afregning af KMF. Dette er midlertidigt håndteret ved, at regionernes indtægtsloft for regionerne sænkes og fordelingen</w:t>
      </w:r>
      <w:r w:rsidR="00757971" w:rsidRPr="00B30869">
        <w:rPr>
          <w:rFonts w:ascii="Garamond" w:hAnsi="Garamond"/>
          <w:sz w:val="24"/>
          <w:szCs w:val="24"/>
        </w:rPr>
        <w:t xml:space="preserve"> af lofterne ændres</w:t>
      </w:r>
      <w:r w:rsidRPr="00B30869">
        <w:rPr>
          <w:rFonts w:ascii="Garamond" w:hAnsi="Garamond"/>
          <w:sz w:val="24"/>
          <w:szCs w:val="24"/>
        </w:rPr>
        <w:t>, så</w:t>
      </w:r>
      <w:r w:rsidR="00351954" w:rsidRPr="00B30869">
        <w:rPr>
          <w:rFonts w:ascii="Garamond" w:hAnsi="Garamond"/>
          <w:sz w:val="24"/>
          <w:szCs w:val="24"/>
        </w:rPr>
        <w:t xml:space="preserve"> </w:t>
      </w:r>
      <w:r w:rsidR="00D7608A">
        <w:rPr>
          <w:rFonts w:ascii="Garamond" w:hAnsi="Garamond"/>
          <w:sz w:val="24"/>
          <w:szCs w:val="24"/>
        </w:rPr>
        <w:t>en differentieret ikke vil påvirke regionernes adfærd</w:t>
      </w:r>
      <w:r w:rsidRPr="00B30869">
        <w:rPr>
          <w:rFonts w:ascii="Garamond" w:hAnsi="Garamond"/>
          <w:i/>
          <w:sz w:val="24"/>
          <w:szCs w:val="24"/>
        </w:rPr>
        <w:t>, jf. kapitel 4</w:t>
      </w:r>
      <w:r w:rsidRPr="00B30869">
        <w:rPr>
          <w:rFonts w:ascii="Garamond" w:hAnsi="Garamond"/>
          <w:sz w:val="24"/>
          <w:szCs w:val="24"/>
        </w:rPr>
        <w:t xml:space="preserve">. </w:t>
      </w:r>
    </w:p>
    <w:p w:rsidR="00132751" w:rsidRPr="00132751" w:rsidRDefault="00CA3D3B" w:rsidP="00CA3D3B">
      <w:pPr>
        <w:spacing w:after="0"/>
        <w:jc w:val="both"/>
        <w:rPr>
          <w:rFonts w:ascii="Garamond" w:hAnsi="Garamond"/>
          <w:i/>
          <w:sz w:val="24"/>
          <w:szCs w:val="24"/>
        </w:rPr>
      </w:pPr>
      <w:r>
        <w:rPr>
          <w:rFonts w:ascii="Garamond" w:hAnsi="Garamond"/>
          <w:i/>
          <w:sz w:val="24"/>
          <w:szCs w:val="24"/>
        </w:rPr>
        <w:t>Effekten</w:t>
      </w:r>
      <w:r w:rsidR="00132751" w:rsidRPr="00132751">
        <w:rPr>
          <w:rFonts w:ascii="Garamond" w:hAnsi="Garamond"/>
          <w:i/>
          <w:sz w:val="24"/>
          <w:szCs w:val="24"/>
        </w:rPr>
        <w:t xml:space="preserve"> af </w:t>
      </w:r>
      <w:r>
        <w:rPr>
          <w:rFonts w:ascii="Garamond" w:hAnsi="Garamond"/>
          <w:i/>
          <w:sz w:val="24"/>
          <w:szCs w:val="24"/>
        </w:rPr>
        <w:t>den aldersdifferentierede model</w:t>
      </w:r>
    </w:p>
    <w:p w:rsidR="00132751" w:rsidRPr="00132751" w:rsidRDefault="00132751" w:rsidP="00013753">
      <w:pPr>
        <w:jc w:val="both"/>
        <w:rPr>
          <w:rFonts w:ascii="Garamond" w:hAnsi="Garamond"/>
          <w:sz w:val="24"/>
          <w:szCs w:val="24"/>
        </w:rPr>
      </w:pPr>
      <w:r w:rsidRPr="00132751">
        <w:rPr>
          <w:rFonts w:ascii="Garamond" w:hAnsi="Garamond"/>
          <w:sz w:val="24"/>
          <w:szCs w:val="24"/>
        </w:rPr>
        <w:t xml:space="preserve">Med </w:t>
      </w:r>
      <w:r w:rsidR="00CA3D3B">
        <w:rPr>
          <w:rFonts w:ascii="Garamond" w:hAnsi="Garamond"/>
          <w:sz w:val="24"/>
          <w:szCs w:val="24"/>
        </w:rPr>
        <w:t>ændringen</w:t>
      </w:r>
      <w:r w:rsidRPr="00132751">
        <w:rPr>
          <w:rFonts w:ascii="Garamond" w:hAnsi="Garamond"/>
          <w:sz w:val="24"/>
          <w:szCs w:val="24"/>
        </w:rPr>
        <w:t xml:space="preserve"> vil </w:t>
      </w:r>
      <w:r w:rsidR="006B745D">
        <w:rPr>
          <w:rFonts w:ascii="Garamond" w:hAnsi="Garamond"/>
          <w:sz w:val="24"/>
          <w:szCs w:val="24"/>
        </w:rPr>
        <w:t>d</w:t>
      </w:r>
      <w:r w:rsidR="006B745D" w:rsidRPr="00132751">
        <w:rPr>
          <w:rFonts w:ascii="Garamond" w:hAnsi="Garamond"/>
          <w:sz w:val="24"/>
          <w:szCs w:val="24"/>
        </w:rPr>
        <w:t>en samlede KMF forblive konstant, mens fordelingen mellem aldersgrupperne ændres</w:t>
      </w:r>
      <w:r w:rsidR="006B745D">
        <w:rPr>
          <w:rFonts w:ascii="Garamond" w:hAnsi="Garamond"/>
          <w:sz w:val="24"/>
          <w:szCs w:val="24"/>
        </w:rPr>
        <w:t>. Fx vil</w:t>
      </w:r>
      <w:r w:rsidR="006B745D" w:rsidRPr="00132751">
        <w:rPr>
          <w:rFonts w:ascii="Garamond" w:hAnsi="Garamond"/>
          <w:sz w:val="24"/>
          <w:szCs w:val="24"/>
        </w:rPr>
        <w:t xml:space="preserve"> </w:t>
      </w:r>
      <w:r w:rsidRPr="00132751">
        <w:rPr>
          <w:rFonts w:ascii="Garamond" w:hAnsi="Garamond"/>
          <w:sz w:val="24"/>
          <w:szCs w:val="24"/>
        </w:rPr>
        <w:t>kommunerne komme til at betale gennemsn</w:t>
      </w:r>
      <w:r w:rsidR="00C85423">
        <w:rPr>
          <w:rFonts w:ascii="Garamond" w:hAnsi="Garamond"/>
          <w:sz w:val="24"/>
          <w:szCs w:val="24"/>
        </w:rPr>
        <w:t>itlig ca. 15.000 kr. pr. 80-</w:t>
      </w:r>
      <w:r w:rsidRPr="00132751">
        <w:rPr>
          <w:rFonts w:ascii="Garamond" w:hAnsi="Garamond"/>
          <w:sz w:val="24"/>
          <w:szCs w:val="24"/>
        </w:rPr>
        <w:t>årig mod tidligere 9.000 kr</w:t>
      </w:r>
      <w:r w:rsidR="006B745D">
        <w:rPr>
          <w:rFonts w:ascii="Garamond" w:hAnsi="Garamond"/>
          <w:sz w:val="24"/>
          <w:szCs w:val="24"/>
        </w:rPr>
        <w:t xml:space="preserve">. </w:t>
      </w:r>
      <w:r w:rsidRPr="00132751">
        <w:rPr>
          <w:rFonts w:ascii="Garamond" w:hAnsi="Garamond"/>
          <w:sz w:val="24"/>
          <w:szCs w:val="24"/>
        </w:rPr>
        <w:t>Modsat vil kommunerne betale 1.800 kr. pr. 40-årig mod tidligere 2.500 kr</w:t>
      </w:r>
      <w:r w:rsidR="006B745D">
        <w:rPr>
          <w:rFonts w:ascii="Garamond" w:hAnsi="Garamond"/>
          <w:sz w:val="24"/>
          <w:szCs w:val="24"/>
        </w:rPr>
        <w:t>.</w:t>
      </w:r>
      <w:r w:rsidR="006B745D" w:rsidRPr="00132751">
        <w:rPr>
          <w:rFonts w:ascii="Garamond" w:hAnsi="Garamond"/>
          <w:sz w:val="24"/>
          <w:szCs w:val="24"/>
        </w:rPr>
        <w:t xml:space="preserve">, </w:t>
      </w:r>
      <w:r w:rsidR="006B745D" w:rsidRPr="00CA3D3B">
        <w:rPr>
          <w:rFonts w:ascii="Garamond" w:hAnsi="Garamond"/>
          <w:i/>
          <w:sz w:val="24"/>
          <w:szCs w:val="24"/>
        </w:rPr>
        <w:t>jf. figur 3.</w:t>
      </w:r>
      <w:r w:rsidR="0026234E">
        <w:rPr>
          <w:rFonts w:ascii="Garamond" w:hAnsi="Garamond"/>
          <w:i/>
          <w:sz w:val="24"/>
          <w:szCs w:val="24"/>
        </w:rPr>
        <w:t>1</w:t>
      </w:r>
      <w:r w:rsidR="00D7608A">
        <w:rPr>
          <w:rFonts w:ascii="Garamond" w:hAnsi="Garamond"/>
          <w:i/>
          <w:sz w:val="24"/>
          <w:szCs w:val="24"/>
        </w:rPr>
        <w:t>2</w:t>
      </w:r>
      <w:r w:rsidR="006B745D" w:rsidRPr="00132751">
        <w:rPr>
          <w:rFonts w:ascii="Garamond" w:hAnsi="Garamond"/>
          <w:sz w:val="24"/>
          <w:szCs w:val="24"/>
        </w:rPr>
        <w:t>.</w:t>
      </w:r>
    </w:p>
    <w:p w:rsidR="00132751" w:rsidRPr="00D23E28" w:rsidRDefault="006B745D" w:rsidP="00013753">
      <w:pPr>
        <w:jc w:val="both"/>
        <w:rPr>
          <w:rFonts w:ascii="Garamond" w:hAnsi="Garamond"/>
          <w:i/>
          <w:sz w:val="24"/>
          <w:szCs w:val="24"/>
        </w:rPr>
      </w:pPr>
      <w:r>
        <w:rPr>
          <w:rFonts w:ascii="Garamond" w:hAnsi="Garamond"/>
          <w:sz w:val="24"/>
          <w:szCs w:val="24"/>
        </w:rPr>
        <w:t>Æ</w:t>
      </w:r>
      <w:r w:rsidR="00AA6AEA">
        <w:rPr>
          <w:rFonts w:ascii="Garamond" w:hAnsi="Garamond"/>
          <w:sz w:val="24"/>
          <w:szCs w:val="24"/>
        </w:rPr>
        <w:t>ndringe</w:t>
      </w:r>
      <w:r>
        <w:rPr>
          <w:rFonts w:ascii="Garamond" w:hAnsi="Garamond"/>
          <w:sz w:val="24"/>
          <w:szCs w:val="24"/>
        </w:rPr>
        <w:t>r</w:t>
      </w:r>
      <w:r w:rsidR="00AA6AEA">
        <w:rPr>
          <w:rFonts w:ascii="Garamond" w:hAnsi="Garamond"/>
          <w:sz w:val="24"/>
          <w:szCs w:val="24"/>
        </w:rPr>
        <w:t>n</w:t>
      </w:r>
      <w:r>
        <w:rPr>
          <w:rFonts w:ascii="Garamond" w:hAnsi="Garamond"/>
          <w:sz w:val="24"/>
          <w:szCs w:val="24"/>
        </w:rPr>
        <w:t>e har også</w:t>
      </w:r>
      <w:r w:rsidR="00CA3D3B">
        <w:rPr>
          <w:rFonts w:ascii="Garamond" w:hAnsi="Garamond"/>
          <w:sz w:val="24"/>
          <w:szCs w:val="24"/>
        </w:rPr>
        <w:t xml:space="preserve"> betydelig effekt </w:t>
      </w:r>
      <w:r w:rsidR="00AA6AEA">
        <w:rPr>
          <w:rFonts w:ascii="Garamond" w:hAnsi="Garamond"/>
          <w:sz w:val="24"/>
          <w:szCs w:val="24"/>
        </w:rPr>
        <w:t>for</w:t>
      </w:r>
      <w:r w:rsidR="00CA3D3B">
        <w:rPr>
          <w:rFonts w:ascii="Garamond" w:hAnsi="Garamond"/>
          <w:sz w:val="24"/>
          <w:szCs w:val="24"/>
        </w:rPr>
        <w:t xml:space="preserve"> </w:t>
      </w:r>
      <w:r w:rsidR="00CA3D3B" w:rsidRPr="00132751">
        <w:rPr>
          <w:rFonts w:ascii="Garamond" w:hAnsi="Garamond"/>
          <w:sz w:val="24"/>
          <w:szCs w:val="24"/>
        </w:rPr>
        <w:t>de ældre medicinske patienter og for antallet af genindlæggelser og forebyggelige indlæggelser</w:t>
      </w:r>
      <w:r>
        <w:rPr>
          <w:rFonts w:ascii="Garamond" w:hAnsi="Garamond"/>
          <w:sz w:val="24"/>
          <w:szCs w:val="24"/>
        </w:rPr>
        <w:t xml:space="preserve"> mv.</w:t>
      </w:r>
      <w:r w:rsidR="00CA3D3B">
        <w:rPr>
          <w:rFonts w:ascii="Garamond" w:hAnsi="Garamond"/>
          <w:sz w:val="24"/>
          <w:szCs w:val="24"/>
        </w:rPr>
        <w:t xml:space="preserve"> </w:t>
      </w:r>
      <w:r w:rsidR="00AA6AEA" w:rsidRPr="00AA6AEA">
        <w:rPr>
          <w:rFonts w:ascii="Garamond" w:hAnsi="Garamond"/>
          <w:sz w:val="24"/>
          <w:szCs w:val="24"/>
        </w:rPr>
        <w:t xml:space="preserve">Gennemslaget ses især for den ældre medicinske patient </w:t>
      </w:r>
      <w:r w:rsidR="00AA6AEA" w:rsidRPr="00D23E28">
        <w:rPr>
          <w:rFonts w:ascii="Garamond" w:hAnsi="Garamond"/>
          <w:i/>
          <w:sz w:val="24"/>
          <w:szCs w:val="24"/>
        </w:rPr>
        <w:t>jf. figur 3.</w:t>
      </w:r>
      <w:r w:rsidR="0026234E">
        <w:rPr>
          <w:rFonts w:ascii="Garamond" w:hAnsi="Garamond"/>
          <w:i/>
          <w:sz w:val="24"/>
          <w:szCs w:val="24"/>
        </w:rPr>
        <w:t>1</w:t>
      </w:r>
      <w:r w:rsidR="00D7608A">
        <w:rPr>
          <w:rFonts w:ascii="Garamond" w:hAnsi="Garamond"/>
          <w:i/>
          <w:sz w:val="24"/>
          <w:szCs w:val="24"/>
        </w:rPr>
        <w:t>3</w:t>
      </w:r>
      <w:r w:rsidR="00AA6AEA" w:rsidRPr="00D23E28">
        <w:rPr>
          <w:rFonts w:ascii="Garamond" w:hAnsi="Garamond"/>
          <w:i/>
          <w:sz w:val="24"/>
          <w:szCs w:val="24"/>
        </w:rPr>
        <w:t>.</w:t>
      </w:r>
    </w:p>
    <w:p w:rsidR="00AA6AEA" w:rsidRPr="006B745D" w:rsidRDefault="00AA6AEA" w:rsidP="00D23E28">
      <w:pPr>
        <w:spacing w:after="0"/>
        <w:jc w:val="both"/>
        <w:rPr>
          <w:rFonts w:ascii="Garamond" w:hAnsi="Garamond"/>
          <w:sz w:val="24"/>
          <w:szCs w:val="24"/>
        </w:rPr>
      </w:pPr>
      <w:r w:rsidRPr="006B745D">
        <w:rPr>
          <w:rFonts w:ascii="Garamond" w:hAnsi="Garamond"/>
          <w:sz w:val="24"/>
          <w:szCs w:val="24"/>
        </w:rPr>
        <w:t xml:space="preserve">Med ændringer vil en kommune kunne spare: </w:t>
      </w:r>
    </w:p>
    <w:p w:rsidR="00132751" w:rsidRPr="006B745D" w:rsidRDefault="00132751" w:rsidP="00013753">
      <w:pPr>
        <w:pStyle w:val="Listeafsnit"/>
        <w:numPr>
          <w:ilvl w:val="0"/>
          <w:numId w:val="3"/>
        </w:numPr>
        <w:jc w:val="both"/>
      </w:pPr>
      <w:r w:rsidRPr="006B745D">
        <w:t>17 pct. for hver</w:t>
      </w:r>
      <w:r w:rsidR="00CA3D3B" w:rsidRPr="006B745D">
        <w:t xml:space="preserve"> genindlæggelse, der forebygges.</w:t>
      </w:r>
    </w:p>
    <w:p w:rsidR="00132751" w:rsidRPr="006B745D" w:rsidRDefault="00132751" w:rsidP="00013753">
      <w:pPr>
        <w:pStyle w:val="Listeafsnit"/>
        <w:numPr>
          <w:ilvl w:val="0"/>
          <w:numId w:val="3"/>
        </w:numPr>
        <w:jc w:val="both"/>
      </w:pPr>
      <w:r w:rsidRPr="006B745D">
        <w:t>19 pct. for hver forebyggel</w:t>
      </w:r>
      <w:r w:rsidR="00CA3D3B" w:rsidRPr="006B745D">
        <w:t>ige indlæggelse, der forebygges.</w:t>
      </w:r>
    </w:p>
    <w:p w:rsidR="0017212C" w:rsidRDefault="00132751" w:rsidP="00013753">
      <w:pPr>
        <w:pStyle w:val="Listeafsnit"/>
        <w:numPr>
          <w:ilvl w:val="0"/>
          <w:numId w:val="3"/>
        </w:numPr>
        <w:jc w:val="both"/>
      </w:pPr>
      <w:r w:rsidRPr="006B745D">
        <w:t>49 pct. for hver ældre medici</w:t>
      </w:r>
      <w:r w:rsidR="00CA3D3B" w:rsidRPr="006B745D">
        <w:t xml:space="preserve">nsk indlæggelse, der forebygges. </w:t>
      </w:r>
    </w:p>
    <w:p w:rsidR="00A634D6" w:rsidRDefault="00A634D6" w:rsidP="00FB3334">
      <w:pPr>
        <w:pStyle w:val="Listeafsnit"/>
        <w:jc w:val="both"/>
      </w:pPr>
    </w:p>
    <w:tbl>
      <w:tblPr>
        <w:tblStyle w:val="Tabel-Gitter"/>
        <w:tblW w:w="7621" w:type="dxa"/>
        <w:tblBorders>
          <w:top w:val="single" w:sz="12" w:space="0" w:color="auto"/>
          <w:left w:val="none" w:sz="0" w:space="0" w:color="auto"/>
          <w:bottom w:val="single" w:sz="12" w:space="0" w:color="auto"/>
          <w:right w:val="none" w:sz="0" w:space="0" w:color="auto"/>
        </w:tblBorders>
        <w:shd w:val="clear" w:color="auto" w:fill="E9EFEC"/>
        <w:tblLook w:val="04A0" w:firstRow="1" w:lastRow="0" w:firstColumn="1" w:lastColumn="0" w:noHBand="0" w:noVBand="1"/>
      </w:tblPr>
      <w:tblGrid>
        <w:gridCol w:w="3810"/>
        <w:gridCol w:w="3811"/>
      </w:tblGrid>
      <w:tr w:rsidR="00132751" w:rsidRPr="004766E3" w:rsidTr="00867B4E">
        <w:tc>
          <w:tcPr>
            <w:tcW w:w="3810" w:type="dxa"/>
            <w:tcBorders>
              <w:top w:val="single" w:sz="12" w:space="0" w:color="auto"/>
              <w:left w:val="nil"/>
              <w:bottom w:val="single" w:sz="4" w:space="0" w:color="auto"/>
              <w:right w:val="single" w:sz="4" w:space="0" w:color="auto"/>
            </w:tcBorders>
            <w:shd w:val="clear" w:color="auto" w:fill="E9EFEC"/>
            <w:hideMark/>
          </w:tcPr>
          <w:p w:rsidR="00132751" w:rsidRPr="004766E3" w:rsidRDefault="00AA6AEA" w:rsidP="00AA6AEA">
            <w:pPr>
              <w:spacing w:line="240" w:lineRule="auto"/>
              <w:rPr>
                <w:rFonts w:asciiTheme="minorHAnsi" w:hAnsiTheme="minorHAnsi"/>
                <w:b/>
                <w:sz w:val="16"/>
              </w:rPr>
            </w:pPr>
            <w:r>
              <w:rPr>
                <w:rFonts w:asciiTheme="minorHAnsi" w:hAnsiTheme="minorHAnsi"/>
                <w:b/>
                <w:sz w:val="16"/>
              </w:rPr>
              <w:t>Figur 3</w:t>
            </w:r>
            <w:r w:rsidR="00AD5EAA">
              <w:rPr>
                <w:rFonts w:asciiTheme="minorHAnsi" w:hAnsiTheme="minorHAnsi"/>
                <w:b/>
                <w:sz w:val="16"/>
              </w:rPr>
              <w:t>.</w:t>
            </w:r>
            <w:r w:rsidR="00C85423">
              <w:rPr>
                <w:rFonts w:asciiTheme="minorHAnsi" w:hAnsiTheme="minorHAnsi"/>
                <w:b/>
                <w:sz w:val="16"/>
              </w:rPr>
              <w:t>1</w:t>
            </w:r>
            <w:r w:rsidR="00D7608A">
              <w:rPr>
                <w:rFonts w:asciiTheme="minorHAnsi" w:hAnsiTheme="minorHAnsi"/>
                <w:b/>
                <w:sz w:val="16"/>
              </w:rPr>
              <w:t>2</w:t>
            </w:r>
            <w:r w:rsidR="00132751" w:rsidRPr="004766E3">
              <w:rPr>
                <w:rFonts w:asciiTheme="minorHAnsi" w:hAnsiTheme="minorHAnsi"/>
                <w:b/>
                <w:sz w:val="16"/>
              </w:rPr>
              <w:br/>
            </w:r>
            <w:r w:rsidR="00132751">
              <w:rPr>
                <w:rFonts w:asciiTheme="minorHAnsi" w:hAnsiTheme="minorHAnsi"/>
                <w:b/>
                <w:color w:val="000000"/>
                <w:sz w:val="16"/>
              </w:rPr>
              <w:t>Nuværende og ændret ordning for somatik og sygesikring fordelt ift. alder, 2014</w:t>
            </w:r>
          </w:p>
        </w:tc>
        <w:tc>
          <w:tcPr>
            <w:tcW w:w="3811" w:type="dxa"/>
            <w:tcBorders>
              <w:top w:val="single" w:sz="12" w:space="0" w:color="auto"/>
              <w:left w:val="single" w:sz="4" w:space="0" w:color="auto"/>
              <w:bottom w:val="single" w:sz="4" w:space="0" w:color="auto"/>
              <w:right w:val="nil"/>
            </w:tcBorders>
            <w:shd w:val="clear" w:color="auto" w:fill="E9EFEC"/>
            <w:hideMark/>
          </w:tcPr>
          <w:p w:rsidR="00132751" w:rsidRPr="004766E3" w:rsidRDefault="00132751" w:rsidP="00CA3D3B">
            <w:pPr>
              <w:spacing w:line="240" w:lineRule="auto"/>
              <w:rPr>
                <w:rFonts w:asciiTheme="minorHAnsi" w:hAnsiTheme="minorHAnsi"/>
                <w:b/>
                <w:sz w:val="16"/>
              </w:rPr>
            </w:pPr>
            <w:r>
              <w:rPr>
                <w:rFonts w:asciiTheme="minorHAnsi" w:hAnsiTheme="minorHAnsi"/>
                <w:b/>
                <w:sz w:val="16"/>
              </w:rPr>
              <w:t xml:space="preserve">Figur </w:t>
            </w:r>
            <w:r w:rsidR="00AA6AEA">
              <w:rPr>
                <w:rFonts w:asciiTheme="minorHAnsi" w:hAnsiTheme="minorHAnsi"/>
                <w:b/>
                <w:sz w:val="16"/>
              </w:rPr>
              <w:t>3</w:t>
            </w:r>
            <w:r>
              <w:rPr>
                <w:rFonts w:asciiTheme="minorHAnsi" w:hAnsiTheme="minorHAnsi"/>
                <w:b/>
                <w:sz w:val="16"/>
              </w:rPr>
              <w:t>.</w:t>
            </w:r>
            <w:r w:rsidR="00C85423">
              <w:rPr>
                <w:rFonts w:asciiTheme="minorHAnsi" w:hAnsiTheme="minorHAnsi"/>
                <w:b/>
                <w:sz w:val="16"/>
              </w:rPr>
              <w:t>1</w:t>
            </w:r>
            <w:r w:rsidR="00D7608A">
              <w:rPr>
                <w:rFonts w:asciiTheme="minorHAnsi" w:hAnsiTheme="minorHAnsi"/>
                <w:b/>
                <w:sz w:val="16"/>
              </w:rPr>
              <w:t>3</w:t>
            </w:r>
            <w:r w:rsidRPr="004766E3">
              <w:rPr>
                <w:rFonts w:asciiTheme="minorHAnsi" w:hAnsiTheme="minorHAnsi"/>
                <w:b/>
                <w:sz w:val="16"/>
              </w:rPr>
              <w:br/>
            </w:r>
            <w:r>
              <w:rPr>
                <w:rFonts w:asciiTheme="minorHAnsi" w:hAnsiTheme="minorHAnsi"/>
                <w:b/>
                <w:color w:val="000000"/>
                <w:sz w:val="16"/>
              </w:rPr>
              <w:t xml:space="preserve">Nuværende og ændret ordning fordelt ift. medicinske, genindlæggelser, udvalgte forebyggelige indlæggelser </w:t>
            </w:r>
          </w:p>
        </w:tc>
      </w:tr>
      <w:tr w:rsidR="00132751" w:rsidRPr="004766E3" w:rsidTr="00867B4E">
        <w:tblPrEx>
          <w:tblCellMar>
            <w:left w:w="70" w:type="dxa"/>
            <w:right w:w="70" w:type="dxa"/>
          </w:tblCellMar>
        </w:tblPrEx>
        <w:tc>
          <w:tcPr>
            <w:tcW w:w="3810" w:type="dxa"/>
            <w:tcBorders>
              <w:top w:val="single" w:sz="4" w:space="0" w:color="auto"/>
              <w:left w:val="nil"/>
              <w:bottom w:val="single" w:sz="4" w:space="0" w:color="auto"/>
              <w:right w:val="single" w:sz="4" w:space="0" w:color="auto"/>
            </w:tcBorders>
            <w:shd w:val="clear" w:color="auto" w:fill="E9EFEC"/>
            <w:hideMark/>
          </w:tcPr>
          <w:p w:rsidR="00132751" w:rsidRPr="004766E3" w:rsidRDefault="00132751" w:rsidP="00013753">
            <w:pPr>
              <w:spacing w:line="240" w:lineRule="auto"/>
              <w:jc w:val="both"/>
              <w:rPr>
                <w:rFonts w:asciiTheme="minorHAnsi" w:hAnsiTheme="minorHAnsi"/>
                <w:sz w:val="14"/>
              </w:rPr>
            </w:pPr>
            <w:r>
              <w:rPr>
                <w:noProof/>
              </w:rPr>
              <w:drawing>
                <wp:inline distT="0" distB="0" distL="0" distR="0" wp14:anchorId="059FA430" wp14:editId="586A8054">
                  <wp:extent cx="2305878" cy="1749287"/>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811" w:type="dxa"/>
            <w:tcBorders>
              <w:top w:val="single" w:sz="4" w:space="0" w:color="auto"/>
              <w:left w:val="single" w:sz="4" w:space="0" w:color="auto"/>
              <w:bottom w:val="single" w:sz="4" w:space="0" w:color="auto"/>
              <w:right w:val="nil"/>
            </w:tcBorders>
            <w:shd w:val="clear" w:color="auto" w:fill="E9EFEC"/>
            <w:hideMark/>
          </w:tcPr>
          <w:p w:rsidR="00132751" w:rsidRPr="004766E3" w:rsidRDefault="00132751" w:rsidP="00013753">
            <w:pPr>
              <w:spacing w:line="240" w:lineRule="auto"/>
              <w:jc w:val="both"/>
              <w:rPr>
                <w:rFonts w:asciiTheme="minorHAnsi" w:hAnsiTheme="minorHAnsi"/>
                <w:sz w:val="14"/>
              </w:rPr>
            </w:pPr>
            <w:r>
              <w:rPr>
                <w:noProof/>
              </w:rPr>
              <w:drawing>
                <wp:anchor distT="0" distB="0" distL="114300" distR="114300" simplePos="0" relativeHeight="251659264" behindDoc="0" locked="0" layoutInCell="1" allowOverlap="1" wp14:anchorId="08CA0DE1" wp14:editId="4A8331C7">
                  <wp:simplePos x="0" y="0"/>
                  <wp:positionH relativeFrom="column">
                    <wp:posOffset>139700</wp:posOffset>
                  </wp:positionH>
                  <wp:positionV relativeFrom="paragraph">
                    <wp:posOffset>59055</wp:posOffset>
                  </wp:positionV>
                  <wp:extent cx="2044700" cy="1752600"/>
                  <wp:effectExtent l="0" t="0" r="0" b="0"/>
                  <wp:wrapTopAndBottom/>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r>
      <w:tr w:rsidR="00132751" w:rsidRPr="004766E3" w:rsidTr="00867B4E">
        <w:tc>
          <w:tcPr>
            <w:tcW w:w="3810" w:type="dxa"/>
            <w:tcBorders>
              <w:top w:val="single" w:sz="4" w:space="0" w:color="auto"/>
              <w:left w:val="nil"/>
              <w:bottom w:val="single" w:sz="12" w:space="0" w:color="auto"/>
              <w:right w:val="single" w:sz="4" w:space="0" w:color="auto"/>
            </w:tcBorders>
            <w:shd w:val="clear" w:color="auto" w:fill="E9EFEC"/>
          </w:tcPr>
          <w:p w:rsidR="00132751" w:rsidRPr="004766E3" w:rsidRDefault="00132751" w:rsidP="00013753">
            <w:pPr>
              <w:spacing w:line="240" w:lineRule="auto"/>
              <w:jc w:val="both"/>
              <w:rPr>
                <w:rFonts w:asciiTheme="minorHAnsi" w:hAnsiTheme="minorHAnsi"/>
                <w:sz w:val="12"/>
              </w:rPr>
            </w:pPr>
          </w:p>
        </w:tc>
        <w:tc>
          <w:tcPr>
            <w:tcW w:w="3811" w:type="dxa"/>
            <w:tcBorders>
              <w:top w:val="single" w:sz="4" w:space="0" w:color="auto"/>
              <w:left w:val="single" w:sz="4" w:space="0" w:color="auto"/>
              <w:bottom w:val="single" w:sz="12" w:space="0" w:color="auto"/>
              <w:right w:val="nil"/>
            </w:tcBorders>
            <w:shd w:val="clear" w:color="auto" w:fill="E9EFEC"/>
          </w:tcPr>
          <w:p w:rsidR="00132751" w:rsidRPr="004766E3" w:rsidRDefault="00132751" w:rsidP="00013753">
            <w:pPr>
              <w:spacing w:line="240" w:lineRule="auto"/>
              <w:jc w:val="both"/>
              <w:rPr>
                <w:rFonts w:asciiTheme="minorHAnsi" w:hAnsiTheme="minorHAnsi"/>
                <w:sz w:val="12"/>
              </w:rPr>
            </w:pPr>
          </w:p>
        </w:tc>
      </w:tr>
    </w:tbl>
    <w:p w:rsidR="00132751" w:rsidRDefault="00132751" w:rsidP="00013753">
      <w:pPr>
        <w:jc w:val="both"/>
        <w:rPr>
          <w:b/>
          <w:sz w:val="16"/>
        </w:rPr>
      </w:pPr>
    </w:p>
    <w:p w:rsidR="00195791" w:rsidRPr="00195791" w:rsidRDefault="00195791" w:rsidP="00013753">
      <w:pPr>
        <w:spacing w:after="0"/>
        <w:jc w:val="both"/>
        <w:rPr>
          <w:rFonts w:ascii="Garamond" w:hAnsi="Garamond"/>
          <w:i/>
          <w:sz w:val="24"/>
          <w:szCs w:val="24"/>
        </w:rPr>
      </w:pPr>
      <w:r w:rsidRPr="00195791">
        <w:rPr>
          <w:rFonts w:ascii="Garamond" w:hAnsi="Garamond"/>
          <w:i/>
          <w:sz w:val="24"/>
          <w:szCs w:val="24"/>
        </w:rPr>
        <w:t>Økonomiske konsekvenser af en aldersdifferentieret KMF</w:t>
      </w:r>
    </w:p>
    <w:p w:rsidR="00DF03B4" w:rsidRDefault="00DF03B4" w:rsidP="00DF03B4">
      <w:pPr>
        <w:jc w:val="both"/>
        <w:rPr>
          <w:rFonts w:ascii="Garamond" w:hAnsi="Garamond"/>
          <w:sz w:val="24"/>
          <w:szCs w:val="24"/>
        </w:rPr>
      </w:pPr>
      <w:r>
        <w:rPr>
          <w:rFonts w:ascii="Garamond" w:hAnsi="Garamond"/>
          <w:sz w:val="24"/>
          <w:szCs w:val="24"/>
        </w:rPr>
        <w:t>Forslaget om en aldersdifferentieret KMF vil umiddelbart føre til højere udgifter i kommuner med forholdsvis mange småbørn og ældre og lavere udgifter i kommuner med forholdsvis få småbørn og ældre.</w:t>
      </w:r>
    </w:p>
    <w:p w:rsidR="00D7608A" w:rsidRDefault="00DF03B4" w:rsidP="00DF03B4">
      <w:pPr>
        <w:jc w:val="both"/>
        <w:rPr>
          <w:rFonts w:ascii="Garamond" w:hAnsi="Garamond"/>
          <w:sz w:val="24"/>
          <w:szCs w:val="24"/>
        </w:rPr>
      </w:pPr>
      <w:r>
        <w:rPr>
          <w:rFonts w:ascii="Garamond" w:hAnsi="Garamond"/>
          <w:sz w:val="24"/>
          <w:szCs w:val="24"/>
        </w:rPr>
        <w:t xml:space="preserve">Disse virkninger bliver i vidt omfang imødegået i udligningssystemet, fordi det aldersbetingede udgiftsbehov tilpasses til den ændrede udgiftsbelastning i de pågældende aldersgrupper, </w:t>
      </w:r>
      <w:r w:rsidRPr="0017212C">
        <w:rPr>
          <w:rFonts w:ascii="Garamond" w:hAnsi="Garamond"/>
          <w:i/>
          <w:sz w:val="24"/>
          <w:szCs w:val="24"/>
        </w:rPr>
        <w:t xml:space="preserve">jf. </w:t>
      </w:r>
      <w:r w:rsidR="00E56C54">
        <w:rPr>
          <w:rFonts w:ascii="Garamond" w:hAnsi="Garamond"/>
          <w:i/>
          <w:sz w:val="24"/>
          <w:szCs w:val="24"/>
        </w:rPr>
        <w:t>boks</w:t>
      </w:r>
      <w:r w:rsidR="00E56C54" w:rsidRPr="0017212C">
        <w:rPr>
          <w:rFonts w:ascii="Garamond" w:hAnsi="Garamond"/>
          <w:i/>
          <w:sz w:val="24"/>
          <w:szCs w:val="24"/>
        </w:rPr>
        <w:t xml:space="preserve"> </w:t>
      </w:r>
      <w:r w:rsidRPr="0017212C">
        <w:rPr>
          <w:rFonts w:ascii="Garamond" w:hAnsi="Garamond"/>
          <w:i/>
          <w:sz w:val="24"/>
          <w:szCs w:val="24"/>
        </w:rPr>
        <w:t>3,1</w:t>
      </w:r>
      <w:r w:rsidR="00D7608A">
        <w:rPr>
          <w:rFonts w:ascii="Garamond" w:hAnsi="Garamond"/>
          <w:i/>
          <w:sz w:val="24"/>
          <w:szCs w:val="24"/>
        </w:rPr>
        <w:t>4</w:t>
      </w:r>
      <w:r>
        <w:rPr>
          <w:rFonts w:ascii="Garamond" w:hAnsi="Garamond"/>
          <w:sz w:val="24"/>
          <w:szCs w:val="24"/>
        </w:rPr>
        <w:t xml:space="preserve">.  </w:t>
      </w:r>
    </w:p>
    <w:p w:rsidR="00D7608A" w:rsidRDefault="00D7608A">
      <w:pPr>
        <w:rPr>
          <w:rFonts w:ascii="Garamond" w:hAnsi="Garamond"/>
          <w:sz w:val="24"/>
          <w:szCs w:val="24"/>
        </w:rPr>
      </w:pPr>
      <w:r>
        <w:rPr>
          <w:rFonts w:ascii="Garamond" w:hAnsi="Garamond"/>
          <w:sz w:val="24"/>
          <w:szCs w:val="24"/>
        </w:rPr>
        <w:br w:type="page"/>
      </w:r>
    </w:p>
    <w:tbl>
      <w:tblPr>
        <w:tblStyle w:val="Tabel-Gitter"/>
        <w:tblW w:w="7513"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513"/>
      </w:tblGrid>
      <w:tr w:rsidR="0017212C" w:rsidRPr="0017212C" w:rsidTr="00E00634">
        <w:tc>
          <w:tcPr>
            <w:tcW w:w="7513" w:type="dxa"/>
            <w:tcBorders>
              <w:top w:val="single" w:sz="12" w:space="0" w:color="auto"/>
              <w:left w:val="nil"/>
              <w:bottom w:val="nil"/>
              <w:right w:val="nil"/>
            </w:tcBorders>
            <w:shd w:val="clear" w:color="auto" w:fill="E9EFEC"/>
            <w:hideMark/>
          </w:tcPr>
          <w:p w:rsidR="0017212C" w:rsidRPr="00DF03B4" w:rsidRDefault="0017212C" w:rsidP="00E00634">
            <w:pPr>
              <w:spacing w:line="240" w:lineRule="auto"/>
              <w:rPr>
                <w:rFonts w:asciiTheme="minorHAnsi" w:hAnsiTheme="minorHAnsi"/>
                <w:b/>
                <w:color w:val="000000"/>
                <w:sz w:val="16"/>
                <w:szCs w:val="16"/>
              </w:rPr>
            </w:pPr>
            <w:r w:rsidRPr="0093755C">
              <w:rPr>
                <w:rFonts w:asciiTheme="minorHAnsi" w:hAnsiTheme="minorHAnsi"/>
                <w:b/>
                <w:sz w:val="16"/>
                <w:szCs w:val="16"/>
              </w:rPr>
              <w:t>Bok</w:t>
            </w:r>
            <w:r w:rsidRPr="00DF03B4">
              <w:rPr>
                <w:rFonts w:asciiTheme="minorHAnsi" w:hAnsiTheme="minorHAnsi"/>
                <w:b/>
                <w:sz w:val="16"/>
                <w:szCs w:val="16"/>
              </w:rPr>
              <w:t>s 3.</w:t>
            </w:r>
            <w:r w:rsidR="00C85423">
              <w:rPr>
                <w:rFonts w:asciiTheme="minorHAnsi" w:hAnsiTheme="minorHAnsi"/>
                <w:b/>
                <w:sz w:val="16"/>
                <w:szCs w:val="16"/>
              </w:rPr>
              <w:t>1</w:t>
            </w:r>
            <w:r w:rsidR="00D7608A">
              <w:rPr>
                <w:rFonts w:asciiTheme="minorHAnsi" w:hAnsiTheme="minorHAnsi"/>
                <w:b/>
                <w:sz w:val="16"/>
                <w:szCs w:val="16"/>
              </w:rPr>
              <w:t>4</w:t>
            </w:r>
            <w:r w:rsidRPr="00DF03B4">
              <w:rPr>
                <w:rFonts w:asciiTheme="minorHAnsi" w:hAnsiTheme="minorHAnsi"/>
                <w:b/>
                <w:sz w:val="16"/>
                <w:szCs w:val="16"/>
              </w:rPr>
              <w:br/>
            </w:r>
            <w:r w:rsidRPr="0017212C">
              <w:rPr>
                <w:rFonts w:asciiTheme="minorHAnsi" w:hAnsiTheme="minorHAnsi"/>
                <w:b/>
                <w:sz w:val="16"/>
                <w:szCs w:val="16"/>
              </w:rPr>
              <w:t>Kommunernes udgiftsbehov</w:t>
            </w:r>
          </w:p>
        </w:tc>
      </w:tr>
      <w:tr w:rsidR="0017212C" w:rsidRPr="0017212C" w:rsidTr="00E00634">
        <w:tblPrEx>
          <w:tblCellMar>
            <w:left w:w="70" w:type="dxa"/>
            <w:right w:w="70" w:type="dxa"/>
          </w:tblCellMar>
        </w:tblPrEx>
        <w:tc>
          <w:tcPr>
            <w:tcW w:w="7513" w:type="dxa"/>
            <w:tcBorders>
              <w:top w:val="nil"/>
              <w:left w:val="nil"/>
              <w:bottom w:val="nil"/>
              <w:right w:val="single" w:sz="4" w:space="0" w:color="auto"/>
            </w:tcBorders>
            <w:shd w:val="clear" w:color="auto" w:fill="E9EFEC"/>
            <w:hideMark/>
          </w:tcPr>
          <w:p w:rsidR="0017212C" w:rsidRPr="0093755C" w:rsidRDefault="0017212C" w:rsidP="00E00634">
            <w:pPr>
              <w:spacing w:line="240" w:lineRule="auto"/>
              <w:jc w:val="both"/>
              <w:rPr>
                <w:rFonts w:asciiTheme="minorHAnsi" w:hAnsiTheme="minorHAnsi"/>
                <w:sz w:val="16"/>
                <w:szCs w:val="16"/>
              </w:rPr>
            </w:pPr>
          </w:p>
        </w:tc>
      </w:tr>
      <w:tr w:rsidR="0017212C" w:rsidRPr="009C00D1" w:rsidTr="00E00634">
        <w:tc>
          <w:tcPr>
            <w:tcW w:w="7513" w:type="dxa"/>
            <w:tcBorders>
              <w:top w:val="nil"/>
              <w:left w:val="nil"/>
              <w:bottom w:val="single" w:sz="12" w:space="0" w:color="auto"/>
              <w:right w:val="nil"/>
            </w:tcBorders>
            <w:shd w:val="clear" w:color="auto" w:fill="E9EFEC"/>
            <w:vAlign w:val="center"/>
          </w:tcPr>
          <w:p w:rsidR="0017212C" w:rsidRPr="0093755C" w:rsidRDefault="0017212C" w:rsidP="00E00634">
            <w:pPr>
              <w:pStyle w:val="Listeafsnit"/>
              <w:spacing w:line="276" w:lineRule="auto"/>
              <w:ind w:left="0"/>
              <w:jc w:val="both"/>
              <w:rPr>
                <w:rFonts w:asciiTheme="minorHAnsi" w:hAnsiTheme="minorHAnsi"/>
                <w:sz w:val="16"/>
                <w:szCs w:val="16"/>
              </w:rPr>
            </w:pPr>
          </w:p>
          <w:p w:rsidR="0017212C" w:rsidRPr="00F21D96" w:rsidRDefault="0017212C" w:rsidP="0017212C">
            <w:pPr>
              <w:rPr>
                <w:rFonts w:asciiTheme="minorHAnsi" w:hAnsiTheme="minorHAnsi"/>
                <w:sz w:val="16"/>
                <w:szCs w:val="16"/>
              </w:rPr>
            </w:pPr>
            <w:r w:rsidRPr="00F21D96">
              <w:rPr>
                <w:rFonts w:asciiTheme="minorHAnsi" w:hAnsiTheme="minorHAnsi"/>
                <w:sz w:val="16"/>
                <w:szCs w:val="16"/>
              </w:rPr>
              <w:t>I udligningssystemet opgøres for hver kommune et udgiftsbehov. Det udgøres af en sammenvejning af et aldersbetinget udgiftsbehov og et socioøkonomisk udgiftsbehov. Det aldersbetingede udgiftsbehov vægtes i 2016 med 67,75 pct. og det socioøkonomiske udgiftsbehov med 32,25 pct. Vægten på det socioøkonomiske udgiftsbehov forhøjes årligt med 1/4 procentpoint, mens vægten på det aldersbetingede nedsættes tilsvarende.</w:t>
            </w:r>
          </w:p>
          <w:p w:rsidR="0017212C" w:rsidRPr="00F21D96" w:rsidRDefault="0017212C" w:rsidP="0017212C">
            <w:pPr>
              <w:rPr>
                <w:rFonts w:asciiTheme="minorHAnsi" w:hAnsiTheme="minorHAnsi"/>
                <w:sz w:val="16"/>
                <w:szCs w:val="16"/>
              </w:rPr>
            </w:pPr>
          </w:p>
          <w:p w:rsidR="0017212C" w:rsidRPr="00F21D96" w:rsidRDefault="0017212C" w:rsidP="0017212C">
            <w:pPr>
              <w:rPr>
                <w:rFonts w:asciiTheme="minorHAnsi" w:hAnsiTheme="minorHAnsi"/>
                <w:sz w:val="16"/>
                <w:szCs w:val="16"/>
              </w:rPr>
            </w:pPr>
            <w:r w:rsidRPr="00F21D96">
              <w:rPr>
                <w:rFonts w:asciiTheme="minorHAnsi" w:hAnsiTheme="minorHAnsi"/>
                <w:sz w:val="16"/>
                <w:szCs w:val="16"/>
              </w:rPr>
              <w:t xml:space="preserve">Det aldersbetingende udgiftsbehov opgøres på den måde, at der for hver aldersgruppe beregnes et enhedsbeløb, som afspejler de gennemsnitlige kommunale udgifter til en person i den pågældende aldersgruppe. Befolkningen er i den forbindelse opdelt i 15 aldersgrupper. En kommunes samlede aldersbetingede udgiftsbehov opgøres ud fra antallet af personer i hver aldersgruppe ganget med enhedsbeløbet for den pågældende aldersgruppe. Enhedsbeløbene opdateres årligt ud fra den aktuelle fordeling af kommunernes udgifter. </w:t>
            </w:r>
          </w:p>
          <w:p w:rsidR="0017212C" w:rsidRPr="00F21D96" w:rsidRDefault="0017212C" w:rsidP="0017212C">
            <w:pPr>
              <w:rPr>
                <w:rFonts w:asciiTheme="minorHAnsi" w:hAnsiTheme="minorHAnsi"/>
                <w:sz w:val="16"/>
                <w:szCs w:val="16"/>
              </w:rPr>
            </w:pPr>
          </w:p>
          <w:p w:rsidR="0017212C" w:rsidRPr="00F21D96" w:rsidRDefault="0017212C" w:rsidP="0017212C">
            <w:pPr>
              <w:rPr>
                <w:rFonts w:asciiTheme="minorHAnsi" w:hAnsiTheme="minorHAnsi"/>
                <w:sz w:val="16"/>
                <w:szCs w:val="16"/>
              </w:rPr>
            </w:pPr>
            <w:r w:rsidRPr="00F21D96">
              <w:rPr>
                <w:rFonts w:asciiTheme="minorHAnsi" w:hAnsiTheme="minorHAnsi"/>
                <w:sz w:val="16"/>
                <w:szCs w:val="16"/>
              </w:rPr>
              <w:t>I figur 3.1</w:t>
            </w:r>
            <w:r w:rsidR="00D7608A" w:rsidRPr="00F21D96">
              <w:rPr>
                <w:rFonts w:asciiTheme="minorHAnsi" w:hAnsiTheme="minorHAnsi"/>
                <w:sz w:val="16"/>
                <w:szCs w:val="16"/>
              </w:rPr>
              <w:t>5</w:t>
            </w:r>
            <w:r w:rsidRPr="00F21D96">
              <w:rPr>
                <w:rFonts w:asciiTheme="minorHAnsi" w:hAnsiTheme="minorHAnsi"/>
                <w:sz w:val="16"/>
                <w:szCs w:val="16"/>
              </w:rPr>
              <w:t xml:space="preserve"> og 3.1</w:t>
            </w:r>
            <w:r w:rsidR="00D7608A" w:rsidRPr="00F21D96">
              <w:rPr>
                <w:rFonts w:asciiTheme="minorHAnsi" w:hAnsiTheme="minorHAnsi"/>
                <w:sz w:val="16"/>
                <w:szCs w:val="16"/>
              </w:rPr>
              <w:t>6</w:t>
            </w:r>
            <w:r w:rsidRPr="00F21D96">
              <w:rPr>
                <w:rFonts w:asciiTheme="minorHAnsi" w:hAnsiTheme="minorHAnsi"/>
                <w:sz w:val="16"/>
                <w:szCs w:val="16"/>
              </w:rPr>
              <w:t xml:space="preserve"> nedenfor er illustreret, hvordan enhedsbeløbene i det aldersbetingede udgiftsbehov for 2016 vil være ændret ved en korrektion for ændringen i udgifterne til KMF. Som det fremgår, vil det indebære betydelige stigninger i enhedsbeløbene for de tre aldersgrupper, der omfatter de ældre borgere, dvs. aldersgrupperne 65-74 årige, 75-84 årige og de 85 årige og derover.</w:t>
            </w:r>
          </w:p>
          <w:p w:rsidR="0017212C" w:rsidRDefault="0017212C" w:rsidP="0017212C">
            <w:pPr>
              <w:rPr>
                <w:sz w:val="16"/>
                <w:szCs w:val="16"/>
              </w:rPr>
            </w:pPr>
          </w:p>
          <w:tbl>
            <w:tblPr>
              <w:tblStyle w:val="Tabel-Gitter"/>
              <w:tblW w:w="7621"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3810"/>
              <w:gridCol w:w="3811"/>
            </w:tblGrid>
            <w:tr w:rsidR="0017212C" w:rsidRPr="004766E3" w:rsidTr="00E00634">
              <w:tc>
                <w:tcPr>
                  <w:tcW w:w="3810" w:type="dxa"/>
                  <w:tcBorders>
                    <w:top w:val="single" w:sz="12" w:space="0" w:color="auto"/>
                    <w:left w:val="nil"/>
                    <w:bottom w:val="single" w:sz="4" w:space="0" w:color="auto"/>
                    <w:right w:val="single" w:sz="4" w:space="0" w:color="auto"/>
                  </w:tcBorders>
                  <w:shd w:val="clear" w:color="auto" w:fill="E9EFEC"/>
                  <w:hideMark/>
                </w:tcPr>
                <w:p w:rsidR="0017212C" w:rsidRPr="004766E3" w:rsidRDefault="0017212C" w:rsidP="00E00634">
                  <w:pPr>
                    <w:spacing w:line="240" w:lineRule="auto"/>
                    <w:rPr>
                      <w:rFonts w:asciiTheme="minorHAnsi" w:hAnsiTheme="minorHAnsi"/>
                      <w:b/>
                      <w:sz w:val="16"/>
                    </w:rPr>
                  </w:pPr>
                  <w:r>
                    <w:rPr>
                      <w:rFonts w:asciiTheme="minorHAnsi" w:hAnsiTheme="minorHAnsi"/>
                      <w:b/>
                      <w:sz w:val="16"/>
                    </w:rPr>
                    <w:t>Figur 3.1</w:t>
                  </w:r>
                  <w:r w:rsidR="00D7608A">
                    <w:rPr>
                      <w:rFonts w:asciiTheme="minorHAnsi" w:hAnsiTheme="minorHAnsi"/>
                      <w:b/>
                      <w:sz w:val="16"/>
                    </w:rPr>
                    <w:t>5</w:t>
                  </w:r>
                  <w:r w:rsidRPr="004766E3">
                    <w:rPr>
                      <w:rFonts w:asciiTheme="minorHAnsi" w:hAnsiTheme="minorHAnsi"/>
                      <w:b/>
                      <w:sz w:val="16"/>
                    </w:rPr>
                    <w:br/>
                  </w:r>
                  <w:r w:rsidRPr="0017212C">
                    <w:rPr>
                      <w:rFonts w:asciiTheme="minorHAnsi" w:hAnsiTheme="minorHAnsi"/>
                      <w:b/>
                      <w:color w:val="000000"/>
                      <w:sz w:val="16"/>
                    </w:rPr>
                    <w:t>Enhedsbeløb i det aldersbetingede udgiftsbehov før og efter ændring af KMF</w:t>
                  </w:r>
                </w:p>
              </w:tc>
              <w:tc>
                <w:tcPr>
                  <w:tcW w:w="3811" w:type="dxa"/>
                  <w:tcBorders>
                    <w:top w:val="single" w:sz="12" w:space="0" w:color="auto"/>
                    <w:left w:val="single" w:sz="4" w:space="0" w:color="auto"/>
                    <w:bottom w:val="single" w:sz="4" w:space="0" w:color="auto"/>
                    <w:right w:val="nil"/>
                  </w:tcBorders>
                  <w:shd w:val="clear" w:color="auto" w:fill="E9EFEC"/>
                  <w:hideMark/>
                </w:tcPr>
                <w:p w:rsidR="0017212C" w:rsidRPr="004766E3" w:rsidRDefault="0017212C" w:rsidP="00E00634">
                  <w:pPr>
                    <w:spacing w:line="240" w:lineRule="auto"/>
                    <w:rPr>
                      <w:rFonts w:asciiTheme="minorHAnsi" w:hAnsiTheme="minorHAnsi"/>
                      <w:b/>
                      <w:sz w:val="16"/>
                    </w:rPr>
                  </w:pPr>
                  <w:r>
                    <w:rPr>
                      <w:rFonts w:asciiTheme="minorHAnsi" w:hAnsiTheme="minorHAnsi"/>
                      <w:b/>
                      <w:sz w:val="16"/>
                    </w:rPr>
                    <w:t>Figur 3.1</w:t>
                  </w:r>
                  <w:r w:rsidR="00D7608A">
                    <w:rPr>
                      <w:rFonts w:asciiTheme="minorHAnsi" w:hAnsiTheme="minorHAnsi"/>
                      <w:b/>
                      <w:sz w:val="16"/>
                    </w:rPr>
                    <w:t>6</w:t>
                  </w:r>
                  <w:r w:rsidRPr="004766E3">
                    <w:rPr>
                      <w:rFonts w:asciiTheme="minorHAnsi" w:hAnsiTheme="minorHAnsi"/>
                      <w:b/>
                      <w:sz w:val="16"/>
                    </w:rPr>
                    <w:br/>
                  </w:r>
                  <w:r w:rsidRPr="0017212C">
                    <w:rPr>
                      <w:rFonts w:asciiTheme="minorHAnsi" w:hAnsiTheme="minorHAnsi"/>
                      <w:b/>
                      <w:color w:val="000000"/>
                      <w:sz w:val="16"/>
                    </w:rPr>
                    <w:t>Ændring af enhedsbeløb i det aldersbetingede udgiftsbehov som følge af ændring af KMF</w:t>
                  </w:r>
                </w:p>
              </w:tc>
            </w:tr>
            <w:tr w:rsidR="0017212C" w:rsidRPr="004766E3" w:rsidTr="00E00634">
              <w:tblPrEx>
                <w:tblCellMar>
                  <w:left w:w="70" w:type="dxa"/>
                  <w:right w:w="70" w:type="dxa"/>
                </w:tblCellMar>
              </w:tblPrEx>
              <w:tc>
                <w:tcPr>
                  <w:tcW w:w="3810" w:type="dxa"/>
                  <w:tcBorders>
                    <w:top w:val="single" w:sz="4" w:space="0" w:color="auto"/>
                    <w:left w:val="nil"/>
                    <w:bottom w:val="single" w:sz="4" w:space="0" w:color="auto"/>
                    <w:right w:val="single" w:sz="4" w:space="0" w:color="auto"/>
                  </w:tcBorders>
                  <w:shd w:val="clear" w:color="auto" w:fill="E9EFEC"/>
                  <w:hideMark/>
                </w:tcPr>
                <w:p w:rsidR="0017212C" w:rsidRPr="004766E3" w:rsidRDefault="0017212C" w:rsidP="00E00634">
                  <w:pPr>
                    <w:spacing w:line="240" w:lineRule="auto"/>
                    <w:jc w:val="both"/>
                    <w:rPr>
                      <w:rFonts w:asciiTheme="minorHAnsi" w:hAnsiTheme="minorHAnsi"/>
                      <w:sz w:val="14"/>
                    </w:rPr>
                  </w:pPr>
                  <w:r>
                    <w:rPr>
                      <w:noProof/>
                    </w:rPr>
                    <w:drawing>
                      <wp:inline distT="0" distB="0" distL="0" distR="0" wp14:anchorId="70AA3E15" wp14:editId="4E1CABFB">
                        <wp:extent cx="2232041" cy="19080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2041" cy="1908000"/>
                                </a:xfrm>
                                <a:prstGeom prst="rect">
                                  <a:avLst/>
                                </a:prstGeom>
                                <a:noFill/>
                              </pic:spPr>
                            </pic:pic>
                          </a:graphicData>
                        </a:graphic>
                      </wp:inline>
                    </w:drawing>
                  </w:r>
                </w:p>
              </w:tc>
              <w:tc>
                <w:tcPr>
                  <w:tcW w:w="3811" w:type="dxa"/>
                  <w:tcBorders>
                    <w:top w:val="single" w:sz="4" w:space="0" w:color="auto"/>
                    <w:left w:val="single" w:sz="4" w:space="0" w:color="auto"/>
                    <w:bottom w:val="single" w:sz="4" w:space="0" w:color="auto"/>
                    <w:right w:val="nil"/>
                  </w:tcBorders>
                  <w:shd w:val="clear" w:color="auto" w:fill="E9EFEC"/>
                  <w:hideMark/>
                </w:tcPr>
                <w:p w:rsidR="0017212C" w:rsidRPr="004766E3" w:rsidRDefault="0017212C" w:rsidP="00E00634">
                  <w:pPr>
                    <w:spacing w:line="240" w:lineRule="auto"/>
                    <w:jc w:val="both"/>
                    <w:rPr>
                      <w:rFonts w:asciiTheme="minorHAnsi" w:hAnsiTheme="minorHAnsi"/>
                      <w:sz w:val="14"/>
                    </w:rPr>
                  </w:pPr>
                  <w:r>
                    <w:rPr>
                      <w:noProof/>
                    </w:rPr>
                    <w:drawing>
                      <wp:inline distT="0" distB="0" distL="0" distR="0" wp14:anchorId="3CFE9BDE" wp14:editId="0EAE6BC4">
                        <wp:extent cx="2232041" cy="19080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2041" cy="1908000"/>
                                </a:xfrm>
                                <a:prstGeom prst="rect">
                                  <a:avLst/>
                                </a:prstGeom>
                                <a:noFill/>
                              </pic:spPr>
                            </pic:pic>
                          </a:graphicData>
                        </a:graphic>
                      </wp:inline>
                    </w:drawing>
                  </w:r>
                </w:p>
              </w:tc>
            </w:tr>
            <w:tr w:rsidR="0017212C" w:rsidRPr="004766E3" w:rsidTr="00E00634">
              <w:tc>
                <w:tcPr>
                  <w:tcW w:w="3810" w:type="dxa"/>
                  <w:tcBorders>
                    <w:top w:val="single" w:sz="4" w:space="0" w:color="auto"/>
                    <w:left w:val="nil"/>
                    <w:bottom w:val="single" w:sz="12" w:space="0" w:color="auto"/>
                    <w:right w:val="single" w:sz="4" w:space="0" w:color="auto"/>
                  </w:tcBorders>
                  <w:shd w:val="clear" w:color="auto" w:fill="E9EFEC"/>
                </w:tcPr>
                <w:p w:rsidR="0017212C" w:rsidRPr="004766E3" w:rsidRDefault="0017212C" w:rsidP="00E00634">
                  <w:pPr>
                    <w:spacing w:line="240" w:lineRule="auto"/>
                    <w:jc w:val="both"/>
                    <w:rPr>
                      <w:rFonts w:asciiTheme="minorHAnsi" w:hAnsiTheme="minorHAnsi"/>
                      <w:sz w:val="12"/>
                    </w:rPr>
                  </w:pPr>
                  <w:r>
                    <w:rPr>
                      <w:rFonts w:asciiTheme="minorHAnsi" w:hAnsiTheme="minorHAnsi"/>
                      <w:sz w:val="12"/>
                    </w:rPr>
                    <w:t xml:space="preserve">Kilde: </w:t>
                  </w:r>
                  <w:r w:rsidRPr="0017212C">
                    <w:rPr>
                      <w:rFonts w:asciiTheme="minorHAnsi" w:hAnsiTheme="minorHAnsi"/>
                      <w:sz w:val="12"/>
                    </w:rPr>
                    <w:t>Social- og Indenrigsministeriet</w:t>
                  </w:r>
                </w:p>
              </w:tc>
              <w:tc>
                <w:tcPr>
                  <w:tcW w:w="3811" w:type="dxa"/>
                  <w:tcBorders>
                    <w:top w:val="single" w:sz="4" w:space="0" w:color="auto"/>
                    <w:left w:val="single" w:sz="4" w:space="0" w:color="auto"/>
                    <w:bottom w:val="single" w:sz="12" w:space="0" w:color="auto"/>
                    <w:right w:val="nil"/>
                  </w:tcBorders>
                  <w:shd w:val="clear" w:color="auto" w:fill="E9EFEC"/>
                </w:tcPr>
                <w:p w:rsidR="0017212C" w:rsidRPr="004766E3" w:rsidRDefault="0017212C" w:rsidP="00E00634">
                  <w:pPr>
                    <w:spacing w:line="240" w:lineRule="auto"/>
                    <w:jc w:val="both"/>
                    <w:rPr>
                      <w:rFonts w:asciiTheme="minorHAnsi" w:hAnsiTheme="minorHAnsi"/>
                      <w:sz w:val="12"/>
                    </w:rPr>
                  </w:pPr>
                  <w:r>
                    <w:rPr>
                      <w:rFonts w:asciiTheme="minorHAnsi" w:hAnsiTheme="minorHAnsi"/>
                      <w:sz w:val="12"/>
                    </w:rPr>
                    <w:t xml:space="preserve">Kilde: </w:t>
                  </w:r>
                  <w:r w:rsidRPr="0017212C">
                    <w:rPr>
                      <w:rFonts w:asciiTheme="minorHAnsi" w:hAnsiTheme="minorHAnsi"/>
                      <w:sz w:val="12"/>
                    </w:rPr>
                    <w:t>Social- og Indenrigsministeriet</w:t>
                  </w:r>
                </w:p>
              </w:tc>
            </w:tr>
          </w:tbl>
          <w:p w:rsidR="0017212C" w:rsidRPr="0017212C" w:rsidRDefault="0017212C" w:rsidP="00E00634">
            <w:pPr>
              <w:spacing w:line="240" w:lineRule="auto"/>
              <w:jc w:val="both"/>
              <w:rPr>
                <w:rFonts w:asciiTheme="minorHAnsi" w:hAnsiTheme="minorHAnsi"/>
                <w:sz w:val="16"/>
                <w:szCs w:val="16"/>
              </w:rPr>
            </w:pPr>
          </w:p>
        </w:tc>
      </w:tr>
    </w:tbl>
    <w:p w:rsidR="0017212C" w:rsidRDefault="0017212C" w:rsidP="00F21D96">
      <w:pPr>
        <w:spacing w:after="0"/>
        <w:jc w:val="both"/>
        <w:rPr>
          <w:rFonts w:ascii="Garamond" w:hAnsi="Garamond"/>
          <w:sz w:val="24"/>
          <w:szCs w:val="24"/>
        </w:rPr>
      </w:pPr>
    </w:p>
    <w:p w:rsidR="00DF03B4" w:rsidRPr="005E2CDC" w:rsidRDefault="00DF03B4" w:rsidP="00DF03B4">
      <w:pPr>
        <w:pStyle w:val="Space"/>
        <w:rPr>
          <w:lang w:val="da-DK"/>
        </w:rPr>
      </w:pPr>
    </w:p>
    <w:p w:rsidR="00DF03B4" w:rsidRDefault="00D7608A" w:rsidP="00DF03B4">
      <w:pPr>
        <w:jc w:val="both"/>
        <w:rPr>
          <w:rFonts w:ascii="Garamond" w:hAnsi="Garamond"/>
          <w:sz w:val="24"/>
          <w:szCs w:val="24"/>
        </w:rPr>
      </w:pPr>
      <w:r>
        <w:rPr>
          <w:rFonts w:ascii="Garamond" w:hAnsi="Garamond"/>
          <w:sz w:val="24"/>
          <w:szCs w:val="24"/>
        </w:rPr>
        <w:t>F</w:t>
      </w:r>
      <w:r w:rsidR="00DF03B4">
        <w:rPr>
          <w:rFonts w:ascii="Garamond" w:hAnsi="Garamond"/>
          <w:sz w:val="24"/>
          <w:szCs w:val="24"/>
        </w:rPr>
        <w:t xml:space="preserve">orslaget om aldersdifferentieret medfinansiering </w:t>
      </w:r>
      <w:r>
        <w:rPr>
          <w:rFonts w:ascii="Garamond" w:hAnsi="Garamond"/>
          <w:sz w:val="24"/>
          <w:szCs w:val="24"/>
        </w:rPr>
        <w:t xml:space="preserve">vil derfor </w:t>
      </w:r>
      <w:r w:rsidR="00DF03B4">
        <w:rPr>
          <w:rFonts w:ascii="Garamond" w:hAnsi="Garamond"/>
          <w:sz w:val="24"/>
          <w:szCs w:val="24"/>
        </w:rPr>
        <w:t xml:space="preserve">have </w:t>
      </w:r>
      <w:r w:rsidR="0055617A">
        <w:rPr>
          <w:rFonts w:ascii="Garamond" w:hAnsi="Garamond"/>
          <w:sz w:val="24"/>
          <w:szCs w:val="24"/>
        </w:rPr>
        <w:t xml:space="preserve">relativt </w:t>
      </w:r>
      <w:r w:rsidR="00DF03B4">
        <w:rPr>
          <w:rFonts w:ascii="Garamond" w:hAnsi="Garamond"/>
          <w:sz w:val="24"/>
          <w:szCs w:val="24"/>
        </w:rPr>
        <w:t>begrænse</w:t>
      </w:r>
      <w:r w:rsidR="0055617A">
        <w:rPr>
          <w:rFonts w:ascii="Garamond" w:hAnsi="Garamond"/>
          <w:sz w:val="24"/>
          <w:szCs w:val="24"/>
        </w:rPr>
        <w:t>de</w:t>
      </w:r>
      <w:r w:rsidR="00DF03B4">
        <w:rPr>
          <w:rFonts w:ascii="Garamond" w:hAnsi="Garamond"/>
          <w:sz w:val="24"/>
          <w:szCs w:val="24"/>
        </w:rPr>
        <w:t xml:space="preserve"> byrdefordelingsmæssige konsekvenser </w:t>
      </w:r>
      <w:r w:rsidR="00A25032">
        <w:rPr>
          <w:rFonts w:ascii="Garamond" w:hAnsi="Garamond"/>
          <w:sz w:val="24"/>
          <w:szCs w:val="24"/>
        </w:rPr>
        <w:t>for</w:t>
      </w:r>
      <w:r w:rsidR="00DF03B4">
        <w:rPr>
          <w:rFonts w:ascii="Garamond" w:hAnsi="Garamond"/>
          <w:sz w:val="24"/>
          <w:szCs w:val="24"/>
        </w:rPr>
        <w:t xml:space="preserve"> kommunerne efter gennemslag i udligningssystemet</w:t>
      </w:r>
      <w:r>
        <w:rPr>
          <w:rFonts w:ascii="Garamond" w:hAnsi="Garamond"/>
          <w:sz w:val="24"/>
          <w:szCs w:val="24"/>
        </w:rPr>
        <w:t>.</w:t>
      </w:r>
    </w:p>
    <w:p w:rsidR="00CC7780" w:rsidRDefault="00CC7780" w:rsidP="00DF03B4">
      <w:pPr>
        <w:jc w:val="both"/>
        <w:rPr>
          <w:rFonts w:ascii="Garamond" w:hAnsi="Garamond"/>
          <w:sz w:val="24"/>
          <w:szCs w:val="24"/>
        </w:rPr>
      </w:pPr>
      <w:r w:rsidRPr="005209C6">
        <w:rPr>
          <w:rFonts w:ascii="Garamond" w:hAnsi="Garamond"/>
          <w:sz w:val="24"/>
          <w:szCs w:val="24"/>
        </w:rPr>
        <w:t>Konkret er d</w:t>
      </w:r>
      <w:r>
        <w:rPr>
          <w:rFonts w:ascii="Garamond" w:hAnsi="Garamond"/>
          <w:sz w:val="24"/>
          <w:szCs w:val="24"/>
        </w:rPr>
        <w:t>er beregnet en gevinst for ca. 6</w:t>
      </w:r>
      <w:r w:rsidR="00860508">
        <w:rPr>
          <w:rFonts w:ascii="Garamond" w:hAnsi="Garamond"/>
          <w:sz w:val="24"/>
          <w:szCs w:val="24"/>
        </w:rPr>
        <w:t>3 kommuner</w:t>
      </w:r>
      <w:r w:rsidR="0055617A">
        <w:rPr>
          <w:rFonts w:ascii="Garamond" w:hAnsi="Garamond"/>
          <w:sz w:val="24"/>
          <w:szCs w:val="24"/>
        </w:rPr>
        <w:t>:</w:t>
      </w:r>
      <w:r w:rsidR="00860508">
        <w:rPr>
          <w:rFonts w:ascii="Garamond" w:hAnsi="Garamond"/>
          <w:sz w:val="24"/>
          <w:szCs w:val="24"/>
        </w:rPr>
        <w:t xml:space="preserve"> de</w:t>
      </w:r>
      <w:r w:rsidR="0055617A">
        <w:rPr>
          <w:rFonts w:ascii="Garamond" w:hAnsi="Garamond"/>
          <w:sz w:val="24"/>
          <w:szCs w:val="24"/>
        </w:rPr>
        <w:t>n</w:t>
      </w:r>
      <w:r w:rsidR="00860508">
        <w:rPr>
          <w:rFonts w:ascii="Garamond" w:hAnsi="Garamond"/>
          <w:sz w:val="24"/>
          <w:szCs w:val="24"/>
        </w:rPr>
        <w:t xml:space="preserve"> maksimale gevinst er </w:t>
      </w:r>
      <w:r w:rsidRPr="005209C6">
        <w:rPr>
          <w:rFonts w:ascii="Garamond" w:hAnsi="Garamond"/>
          <w:sz w:val="24"/>
          <w:szCs w:val="24"/>
        </w:rPr>
        <w:t>0,</w:t>
      </w:r>
      <w:r w:rsidR="00860508">
        <w:rPr>
          <w:rFonts w:ascii="Garamond" w:hAnsi="Garamond"/>
          <w:sz w:val="24"/>
          <w:szCs w:val="24"/>
        </w:rPr>
        <w:t>6</w:t>
      </w:r>
      <w:r w:rsidRPr="005209C6">
        <w:rPr>
          <w:rFonts w:ascii="Garamond" w:hAnsi="Garamond"/>
          <w:sz w:val="24"/>
          <w:szCs w:val="24"/>
        </w:rPr>
        <w:t xml:space="preserve"> pct. af beskatningsgrundlaget</w:t>
      </w:r>
      <w:r w:rsidR="0055617A">
        <w:rPr>
          <w:rFonts w:ascii="Garamond" w:hAnsi="Garamond"/>
          <w:sz w:val="24"/>
          <w:szCs w:val="24"/>
        </w:rPr>
        <w:t xml:space="preserve"> </w:t>
      </w:r>
      <w:r w:rsidR="00860508">
        <w:rPr>
          <w:rFonts w:ascii="Garamond" w:hAnsi="Garamond"/>
          <w:sz w:val="24"/>
          <w:szCs w:val="24"/>
        </w:rPr>
        <w:t>(ø-kommuner udeladt)</w:t>
      </w:r>
      <w:r w:rsidRPr="005209C6">
        <w:rPr>
          <w:rFonts w:ascii="Garamond" w:hAnsi="Garamond"/>
          <w:sz w:val="24"/>
          <w:szCs w:val="24"/>
        </w:rPr>
        <w:t xml:space="preserve">.  Der er </w:t>
      </w:r>
      <w:r>
        <w:rPr>
          <w:rFonts w:ascii="Garamond" w:hAnsi="Garamond"/>
          <w:sz w:val="24"/>
          <w:szCs w:val="24"/>
        </w:rPr>
        <w:t>4</w:t>
      </w:r>
      <w:r w:rsidRPr="005209C6">
        <w:rPr>
          <w:rFonts w:ascii="Garamond" w:hAnsi="Garamond"/>
          <w:sz w:val="24"/>
          <w:szCs w:val="24"/>
        </w:rPr>
        <w:t xml:space="preserve"> kommuner med tab over 0,0</w:t>
      </w:r>
      <w:r>
        <w:rPr>
          <w:rFonts w:ascii="Garamond" w:hAnsi="Garamond"/>
          <w:sz w:val="24"/>
          <w:szCs w:val="24"/>
        </w:rPr>
        <w:t>5</w:t>
      </w:r>
      <w:r w:rsidR="00860508">
        <w:rPr>
          <w:rFonts w:ascii="Garamond" w:hAnsi="Garamond"/>
          <w:sz w:val="24"/>
          <w:szCs w:val="24"/>
        </w:rPr>
        <w:t xml:space="preserve"> pct. af beskatningsgrundlaget, det maksimale tab er </w:t>
      </w:r>
      <w:r w:rsidRPr="005209C6">
        <w:rPr>
          <w:rFonts w:ascii="Garamond" w:hAnsi="Garamond"/>
          <w:sz w:val="24"/>
          <w:szCs w:val="24"/>
        </w:rPr>
        <w:t>0,0</w:t>
      </w:r>
      <w:r>
        <w:rPr>
          <w:rFonts w:ascii="Garamond" w:hAnsi="Garamond"/>
          <w:sz w:val="24"/>
          <w:szCs w:val="24"/>
        </w:rPr>
        <w:t>7</w:t>
      </w:r>
      <w:r w:rsidRPr="005209C6">
        <w:rPr>
          <w:rFonts w:ascii="Garamond" w:hAnsi="Garamond"/>
          <w:sz w:val="24"/>
          <w:szCs w:val="24"/>
        </w:rPr>
        <w:t xml:space="preserve"> pct. af be</w:t>
      </w:r>
      <w:r>
        <w:rPr>
          <w:rFonts w:ascii="Garamond" w:hAnsi="Garamond"/>
          <w:sz w:val="24"/>
          <w:szCs w:val="24"/>
        </w:rPr>
        <w:t xml:space="preserve">skatningsgrundlaget, </w:t>
      </w:r>
      <w:r w:rsidRPr="00F21D96">
        <w:rPr>
          <w:rFonts w:ascii="Garamond" w:hAnsi="Garamond"/>
          <w:i/>
          <w:sz w:val="24"/>
          <w:szCs w:val="24"/>
        </w:rPr>
        <w:t>jf. t</w:t>
      </w:r>
      <w:r w:rsidR="00E56C54" w:rsidRPr="00F21D96">
        <w:rPr>
          <w:rFonts w:ascii="Garamond" w:hAnsi="Garamond"/>
          <w:i/>
          <w:sz w:val="24"/>
          <w:szCs w:val="24"/>
        </w:rPr>
        <w:t>abel 3.1</w:t>
      </w:r>
      <w:r w:rsidR="00D7608A">
        <w:rPr>
          <w:rFonts w:ascii="Garamond" w:hAnsi="Garamond"/>
          <w:i/>
          <w:sz w:val="24"/>
          <w:szCs w:val="24"/>
        </w:rPr>
        <w:t>7</w:t>
      </w:r>
      <w:r w:rsidR="00E56C54">
        <w:rPr>
          <w:rFonts w:ascii="Garamond" w:hAnsi="Garamond"/>
          <w:sz w:val="24"/>
          <w:szCs w:val="24"/>
        </w:rPr>
        <w:t xml:space="preserve">. </w:t>
      </w:r>
    </w:p>
    <w:p w:rsidR="00B0298D" w:rsidRDefault="00CC7780" w:rsidP="00DF03B4">
      <w:pPr>
        <w:jc w:val="both"/>
        <w:rPr>
          <w:rFonts w:ascii="Garamond" w:hAnsi="Garamond"/>
          <w:sz w:val="24"/>
          <w:szCs w:val="24"/>
        </w:rPr>
      </w:pPr>
      <w:r>
        <w:rPr>
          <w:rFonts w:ascii="Garamond" w:hAnsi="Garamond"/>
          <w:sz w:val="24"/>
          <w:szCs w:val="24"/>
        </w:rPr>
        <w:t xml:space="preserve">Som det fremgår af tabel 3.16 </w:t>
      </w:r>
      <w:r w:rsidR="00B0298D">
        <w:rPr>
          <w:rFonts w:ascii="Garamond" w:hAnsi="Garamond"/>
          <w:sz w:val="24"/>
          <w:szCs w:val="24"/>
        </w:rPr>
        <w:t>har</w:t>
      </w:r>
      <w:r>
        <w:rPr>
          <w:rFonts w:ascii="Garamond" w:hAnsi="Garamond"/>
          <w:sz w:val="24"/>
          <w:szCs w:val="24"/>
        </w:rPr>
        <w:t xml:space="preserve"> fx</w:t>
      </w:r>
      <w:r w:rsidR="00E56C54">
        <w:rPr>
          <w:rFonts w:ascii="Garamond" w:hAnsi="Garamond"/>
          <w:sz w:val="24"/>
          <w:szCs w:val="24"/>
        </w:rPr>
        <w:t xml:space="preserve"> </w:t>
      </w:r>
      <w:r w:rsidR="00860508">
        <w:rPr>
          <w:rFonts w:ascii="Garamond" w:hAnsi="Garamond"/>
          <w:sz w:val="24"/>
          <w:szCs w:val="24"/>
        </w:rPr>
        <w:t>den kommune</w:t>
      </w:r>
      <w:r w:rsidR="00E56C54">
        <w:rPr>
          <w:rFonts w:ascii="Garamond" w:hAnsi="Garamond"/>
          <w:sz w:val="24"/>
          <w:szCs w:val="24"/>
        </w:rPr>
        <w:t xml:space="preserve"> med størst byrdefordelingsmæssigt tab </w:t>
      </w:r>
      <w:r w:rsidR="00B0298D">
        <w:rPr>
          <w:rFonts w:ascii="Garamond" w:hAnsi="Garamond"/>
          <w:sz w:val="24"/>
          <w:szCs w:val="24"/>
        </w:rPr>
        <w:t>efter udligning fået dækket</w:t>
      </w:r>
      <w:r w:rsidR="00E56C54">
        <w:rPr>
          <w:rFonts w:ascii="Garamond" w:hAnsi="Garamond"/>
          <w:sz w:val="24"/>
          <w:szCs w:val="24"/>
        </w:rPr>
        <w:t xml:space="preserve"> ca. 60 pct. af merudgifterne. </w:t>
      </w:r>
    </w:p>
    <w:p w:rsidR="00B0298D" w:rsidRDefault="00B0298D">
      <w:pPr>
        <w:rPr>
          <w:rFonts w:ascii="Garamond" w:hAnsi="Garamond"/>
          <w:sz w:val="24"/>
          <w:szCs w:val="24"/>
        </w:rPr>
      </w:pPr>
      <w:r>
        <w:rPr>
          <w:rFonts w:ascii="Garamond" w:hAnsi="Garamond"/>
          <w:sz w:val="24"/>
          <w:szCs w:val="24"/>
        </w:rPr>
        <w:br w:type="page"/>
      </w:r>
    </w:p>
    <w:tbl>
      <w:tblPr>
        <w:tblStyle w:val="Tabel-Gitter"/>
        <w:tblW w:w="7371"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7371"/>
      </w:tblGrid>
      <w:tr w:rsidR="00DF03B4" w:rsidTr="00DF03B4">
        <w:tc>
          <w:tcPr>
            <w:tcW w:w="7371" w:type="dxa"/>
            <w:shd w:val="clear" w:color="auto" w:fill="E9EFEC"/>
          </w:tcPr>
          <w:p w:rsidR="00DF03B4" w:rsidRPr="000C2714" w:rsidRDefault="0017212C" w:rsidP="004346C2">
            <w:pPr>
              <w:spacing w:line="240" w:lineRule="auto"/>
              <w:rPr>
                <w:rFonts w:ascii="Calibri" w:hAnsi="Calibri"/>
                <w:b/>
                <w:sz w:val="16"/>
              </w:rPr>
            </w:pPr>
            <w:r>
              <w:rPr>
                <w:rFonts w:ascii="Calibri" w:hAnsi="Calibri"/>
                <w:b/>
                <w:sz w:val="16"/>
              </w:rPr>
              <w:t>Tabel 3.1</w:t>
            </w:r>
            <w:r w:rsidR="00D7608A">
              <w:rPr>
                <w:rFonts w:ascii="Calibri" w:hAnsi="Calibri"/>
                <w:b/>
                <w:sz w:val="16"/>
              </w:rPr>
              <w:t>7</w:t>
            </w:r>
            <w:r w:rsidR="00DF03B4" w:rsidRPr="000C2714">
              <w:rPr>
                <w:rFonts w:ascii="Calibri" w:hAnsi="Calibri"/>
                <w:b/>
                <w:sz w:val="16"/>
              </w:rPr>
              <w:br/>
            </w:r>
            <w:r w:rsidR="00DF03B4" w:rsidRPr="00AD1927">
              <w:rPr>
                <w:rFonts w:ascii="Calibri" w:hAnsi="Calibri"/>
                <w:b/>
                <w:sz w:val="16"/>
              </w:rPr>
              <w:t xml:space="preserve">Økonomiske konsekvenser for </w:t>
            </w:r>
            <w:r w:rsidR="00DF03B4">
              <w:rPr>
                <w:rFonts w:ascii="Calibri" w:hAnsi="Calibri"/>
                <w:b/>
                <w:sz w:val="16"/>
              </w:rPr>
              <w:t xml:space="preserve">top ti </w:t>
            </w:r>
            <w:r w:rsidR="00DF03B4" w:rsidRPr="00AD1927">
              <w:rPr>
                <w:rFonts w:ascii="Calibri" w:hAnsi="Calibri"/>
                <w:b/>
                <w:sz w:val="16"/>
              </w:rPr>
              <w:t>kommunerne</w:t>
            </w:r>
            <w:r w:rsidR="00DF03B4">
              <w:rPr>
                <w:rFonts w:ascii="Calibri" w:hAnsi="Calibri"/>
                <w:b/>
                <w:sz w:val="16"/>
              </w:rPr>
              <w:t xml:space="preserve"> </w:t>
            </w:r>
            <w:r w:rsidR="00DF03B4" w:rsidRPr="00AD1927">
              <w:rPr>
                <w:rFonts w:ascii="Calibri" w:hAnsi="Calibri"/>
                <w:b/>
                <w:sz w:val="16"/>
              </w:rPr>
              <w:t xml:space="preserve">af </w:t>
            </w:r>
            <w:r w:rsidR="00DF03B4">
              <w:rPr>
                <w:rFonts w:ascii="Calibri" w:hAnsi="Calibri"/>
                <w:b/>
                <w:sz w:val="16"/>
              </w:rPr>
              <w:t>en aldersdifferentieret KMF opdelt ift. ændring i udligningssystemet og kommunal medfinansiering</w:t>
            </w:r>
            <w:r w:rsidR="004346C2">
              <w:rPr>
                <w:rFonts w:ascii="Calibri" w:hAnsi="Calibri"/>
                <w:b/>
                <w:sz w:val="16"/>
              </w:rPr>
              <w:t xml:space="preserve">, 2014 </w:t>
            </w:r>
          </w:p>
        </w:tc>
      </w:tr>
      <w:tr w:rsidR="00DF03B4" w:rsidTr="00DF03B4">
        <w:trPr>
          <w:trHeight w:val="3764"/>
        </w:trPr>
        <w:tc>
          <w:tcPr>
            <w:tcW w:w="7371" w:type="dxa"/>
            <w:shd w:val="clear" w:color="auto" w:fill="E9EFEC"/>
          </w:tcPr>
          <w:tbl>
            <w:tblPr>
              <w:tblW w:w="7035" w:type="dxa"/>
              <w:tblLayout w:type="fixed"/>
              <w:tblCellMar>
                <w:left w:w="70" w:type="dxa"/>
                <w:right w:w="70" w:type="dxa"/>
              </w:tblCellMar>
              <w:tblLook w:val="04A0" w:firstRow="1" w:lastRow="0" w:firstColumn="1" w:lastColumn="0" w:noHBand="0" w:noVBand="1"/>
            </w:tblPr>
            <w:tblGrid>
              <w:gridCol w:w="1026"/>
              <w:gridCol w:w="709"/>
              <w:gridCol w:w="1237"/>
              <w:gridCol w:w="944"/>
              <w:gridCol w:w="1134"/>
              <w:gridCol w:w="851"/>
              <w:gridCol w:w="1134"/>
            </w:tblGrid>
            <w:tr w:rsidR="00DF03B4" w:rsidRPr="002134AB" w:rsidTr="00B0298D">
              <w:trPr>
                <w:trHeight w:val="540"/>
              </w:trPr>
              <w:tc>
                <w:tcPr>
                  <w:tcW w:w="1026" w:type="dxa"/>
                  <w:tcBorders>
                    <w:top w:val="single" w:sz="4" w:space="0" w:color="auto"/>
                    <w:left w:val="nil"/>
                    <w:bottom w:val="single" w:sz="4" w:space="0" w:color="auto"/>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 </w:t>
                  </w:r>
                </w:p>
              </w:tc>
              <w:tc>
                <w:tcPr>
                  <w:tcW w:w="1946" w:type="dxa"/>
                  <w:gridSpan w:val="2"/>
                  <w:tcBorders>
                    <w:top w:val="single" w:sz="4" w:space="0" w:color="auto"/>
                    <w:left w:val="nil"/>
                    <w:bottom w:val="single" w:sz="4" w:space="0" w:color="auto"/>
                    <w:right w:val="dashed" w:sz="4" w:space="0" w:color="auto"/>
                  </w:tcBorders>
                  <w:shd w:val="clear" w:color="000000" w:fill="E9EFEC"/>
                  <w:vAlign w:val="center"/>
                  <w:hideMark/>
                </w:tcPr>
                <w:p w:rsidR="00DF03B4" w:rsidRPr="002134AB" w:rsidRDefault="00DF03B4" w:rsidP="004346C2">
                  <w:pPr>
                    <w:spacing w:after="0" w:line="240" w:lineRule="auto"/>
                    <w:jc w:val="center"/>
                    <w:rPr>
                      <w:rFonts w:eastAsia="Times New Roman" w:cs="Arial"/>
                      <w:b/>
                      <w:bCs/>
                      <w:sz w:val="12"/>
                      <w:szCs w:val="12"/>
                      <w:lang w:eastAsia="da-DK"/>
                    </w:rPr>
                  </w:pPr>
                  <w:r w:rsidRPr="002134AB">
                    <w:rPr>
                      <w:rFonts w:eastAsia="Times New Roman" w:cs="Arial"/>
                      <w:b/>
                      <w:bCs/>
                      <w:sz w:val="12"/>
                      <w:szCs w:val="12"/>
                      <w:lang w:eastAsia="da-DK"/>
                    </w:rPr>
                    <w:t>Ændring i tilskud og udligning</w:t>
                  </w:r>
                </w:p>
              </w:tc>
              <w:tc>
                <w:tcPr>
                  <w:tcW w:w="2078" w:type="dxa"/>
                  <w:gridSpan w:val="2"/>
                  <w:tcBorders>
                    <w:top w:val="single" w:sz="4" w:space="0" w:color="auto"/>
                    <w:left w:val="dashed" w:sz="4" w:space="0" w:color="auto"/>
                    <w:bottom w:val="single" w:sz="4" w:space="0" w:color="auto"/>
                    <w:right w:val="dashed" w:sz="4" w:space="0" w:color="auto"/>
                  </w:tcBorders>
                  <w:shd w:val="clear" w:color="000000" w:fill="E9EFEC"/>
                  <w:vAlign w:val="center"/>
                  <w:hideMark/>
                </w:tcPr>
                <w:p w:rsidR="00DF03B4" w:rsidRPr="002134AB" w:rsidRDefault="00DF03B4" w:rsidP="00E264BB">
                  <w:pPr>
                    <w:spacing w:after="0" w:line="240" w:lineRule="auto"/>
                    <w:jc w:val="center"/>
                    <w:rPr>
                      <w:rFonts w:eastAsia="Times New Roman" w:cs="Arial"/>
                      <w:b/>
                      <w:bCs/>
                      <w:sz w:val="12"/>
                      <w:szCs w:val="12"/>
                      <w:lang w:eastAsia="da-DK"/>
                    </w:rPr>
                  </w:pPr>
                  <w:r w:rsidRPr="002134AB">
                    <w:rPr>
                      <w:rFonts w:eastAsia="Times New Roman" w:cs="Arial"/>
                      <w:b/>
                      <w:bCs/>
                      <w:sz w:val="12"/>
                      <w:szCs w:val="12"/>
                      <w:lang w:eastAsia="da-DK"/>
                    </w:rPr>
                    <w:t>Kommunal merudgift (-) vedr. ændret KMF</w:t>
                  </w:r>
                </w:p>
              </w:tc>
              <w:tc>
                <w:tcPr>
                  <w:tcW w:w="1985" w:type="dxa"/>
                  <w:gridSpan w:val="2"/>
                  <w:tcBorders>
                    <w:top w:val="single" w:sz="4" w:space="0" w:color="auto"/>
                    <w:left w:val="dashed" w:sz="4" w:space="0" w:color="auto"/>
                    <w:bottom w:val="single" w:sz="4" w:space="0" w:color="auto"/>
                    <w:right w:val="nil"/>
                  </w:tcBorders>
                  <w:shd w:val="clear" w:color="000000" w:fill="E9EFEC"/>
                  <w:vAlign w:val="center"/>
                  <w:hideMark/>
                </w:tcPr>
                <w:p w:rsidR="00DF03B4" w:rsidRPr="002134AB" w:rsidRDefault="00DF03B4" w:rsidP="003152FB">
                  <w:pPr>
                    <w:spacing w:after="0" w:line="240" w:lineRule="auto"/>
                    <w:jc w:val="center"/>
                    <w:rPr>
                      <w:rFonts w:eastAsia="Times New Roman" w:cs="Arial"/>
                      <w:b/>
                      <w:bCs/>
                      <w:sz w:val="12"/>
                      <w:szCs w:val="12"/>
                      <w:lang w:eastAsia="da-DK"/>
                    </w:rPr>
                  </w:pPr>
                  <w:r w:rsidRPr="002134AB">
                    <w:rPr>
                      <w:rFonts w:eastAsia="Times New Roman" w:cs="Arial"/>
                      <w:b/>
                      <w:bCs/>
                      <w:sz w:val="12"/>
                      <w:szCs w:val="12"/>
                      <w:lang w:eastAsia="da-DK"/>
                    </w:rPr>
                    <w:t>Samlet ændring af en differentieret KMF</w:t>
                  </w:r>
                  <w:r w:rsidR="003152FB">
                    <w:rPr>
                      <w:rFonts w:eastAsia="Times New Roman" w:cs="Arial"/>
                      <w:b/>
                      <w:bCs/>
                      <w:sz w:val="12"/>
                      <w:szCs w:val="12"/>
                      <w:lang w:eastAsia="da-DK"/>
                    </w:rPr>
                    <w:t xml:space="preserve"> </w:t>
                  </w:r>
                </w:p>
              </w:tc>
            </w:tr>
            <w:tr w:rsidR="00DF03B4" w:rsidRPr="002134AB" w:rsidTr="00B0298D">
              <w:trPr>
                <w:trHeight w:val="239"/>
              </w:trPr>
              <w:tc>
                <w:tcPr>
                  <w:tcW w:w="1026" w:type="dxa"/>
                  <w:tcBorders>
                    <w:top w:val="nil"/>
                    <w:left w:val="nil"/>
                    <w:bottom w:val="single" w:sz="4" w:space="0" w:color="auto"/>
                    <w:right w:val="nil"/>
                  </w:tcBorders>
                  <w:shd w:val="clear" w:color="000000" w:fill="E9EFEC"/>
                  <w:vAlign w:val="bottom"/>
                  <w:hideMark/>
                </w:tcPr>
                <w:p w:rsidR="00DF03B4" w:rsidRPr="002134AB" w:rsidRDefault="00DF03B4" w:rsidP="00DF03B4">
                  <w:pPr>
                    <w:spacing w:after="0" w:line="240" w:lineRule="auto"/>
                    <w:rPr>
                      <w:rFonts w:eastAsia="Times New Roman" w:cs="Arial"/>
                      <w:i/>
                      <w:iCs/>
                      <w:sz w:val="12"/>
                      <w:szCs w:val="12"/>
                      <w:lang w:eastAsia="da-DK"/>
                    </w:rPr>
                  </w:pPr>
                  <w:r w:rsidRPr="002134AB">
                    <w:rPr>
                      <w:rFonts w:eastAsia="Times New Roman" w:cs="Arial"/>
                      <w:i/>
                      <w:iCs/>
                      <w:sz w:val="12"/>
                      <w:szCs w:val="12"/>
                      <w:lang w:eastAsia="da-DK"/>
                    </w:rPr>
                    <w:t> </w:t>
                  </w:r>
                </w:p>
              </w:tc>
              <w:tc>
                <w:tcPr>
                  <w:tcW w:w="709" w:type="dxa"/>
                  <w:tcBorders>
                    <w:top w:val="single" w:sz="4" w:space="0" w:color="E9EFEC"/>
                    <w:left w:val="nil"/>
                    <w:bottom w:val="single" w:sz="4" w:space="0" w:color="auto"/>
                    <w:right w:val="nil"/>
                  </w:tcBorders>
                  <w:shd w:val="clear" w:color="000000" w:fill="E9EFEC"/>
                  <w:vAlign w:val="bottom"/>
                  <w:hideMark/>
                </w:tcPr>
                <w:p w:rsidR="00DF03B4" w:rsidRPr="00B0298D" w:rsidRDefault="004346C2" w:rsidP="004346C2">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M</w:t>
                  </w:r>
                  <w:r w:rsidR="00DF03B4" w:rsidRPr="00B0298D">
                    <w:rPr>
                      <w:rFonts w:eastAsia="Times New Roman" w:cs="Arial"/>
                      <w:i/>
                      <w:iCs/>
                      <w:sz w:val="12"/>
                      <w:szCs w:val="12"/>
                      <w:lang w:eastAsia="da-DK"/>
                    </w:rPr>
                    <w:t>io. kr</w:t>
                  </w:r>
                  <w:r w:rsidRPr="00B0298D">
                    <w:rPr>
                      <w:rFonts w:eastAsia="Times New Roman" w:cs="Arial"/>
                      <w:i/>
                      <w:iCs/>
                      <w:sz w:val="12"/>
                      <w:szCs w:val="12"/>
                      <w:lang w:eastAsia="da-DK"/>
                    </w:rPr>
                    <w:t>.</w:t>
                  </w:r>
                </w:p>
                <w:p w:rsidR="00B0298D" w:rsidRPr="00B0298D" w:rsidRDefault="00B0298D" w:rsidP="004346C2">
                  <w:pPr>
                    <w:spacing w:after="0" w:line="240" w:lineRule="auto"/>
                    <w:rPr>
                      <w:rFonts w:eastAsia="Times New Roman" w:cs="Arial"/>
                      <w:i/>
                      <w:iCs/>
                      <w:sz w:val="12"/>
                      <w:szCs w:val="12"/>
                      <w:lang w:eastAsia="da-DK"/>
                    </w:rPr>
                  </w:pPr>
                  <w:r w:rsidRPr="00B0298D">
                    <w:rPr>
                      <w:rFonts w:eastAsia="Times New Roman" w:cs="Arial"/>
                      <w:bCs/>
                      <w:sz w:val="12"/>
                      <w:szCs w:val="12"/>
                      <w:lang w:eastAsia="da-DK"/>
                    </w:rPr>
                    <w:t>(+=gevinst)</w:t>
                  </w:r>
                </w:p>
              </w:tc>
              <w:tc>
                <w:tcPr>
                  <w:tcW w:w="1237" w:type="dxa"/>
                  <w:tcBorders>
                    <w:top w:val="nil"/>
                    <w:left w:val="nil"/>
                    <w:bottom w:val="single" w:sz="4" w:space="0" w:color="auto"/>
                    <w:right w:val="dashed" w:sz="4" w:space="0" w:color="auto"/>
                  </w:tcBorders>
                  <w:shd w:val="clear" w:color="000000" w:fill="E9EFEC"/>
                  <w:vAlign w:val="bottom"/>
                  <w:hideMark/>
                </w:tcPr>
                <w:p w:rsidR="00DF03B4" w:rsidRPr="00B0298D" w:rsidRDefault="004346C2" w:rsidP="00E264BB">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P</w:t>
                  </w:r>
                  <w:r w:rsidR="003152FB" w:rsidRPr="00B0298D">
                    <w:rPr>
                      <w:rFonts w:eastAsia="Times New Roman" w:cs="Arial"/>
                      <w:i/>
                      <w:iCs/>
                      <w:sz w:val="12"/>
                      <w:szCs w:val="12"/>
                      <w:lang w:eastAsia="da-DK"/>
                    </w:rPr>
                    <w:t>ct. af beskatningsniveau</w:t>
                  </w:r>
                </w:p>
                <w:p w:rsidR="00B0298D" w:rsidRPr="00B0298D" w:rsidRDefault="00B0298D" w:rsidP="00E264BB">
                  <w:pPr>
                    <w:spacing w:after="0" w:line="240" w:lineRule="auto"/>
                    <w:rPr>
                      <w:rFonts w:eastAsia="Times New Roman" w:cs="Arial"/>
                      <w:i/>
                      <w:iCs/>
                      <w:sz w:val="12"/>
                      <w:szCs w:val="12"/>
                      <w:lang w:eastAsia="da-DK"/>
                    </w:rPr>
                  </w:pPr>
                  <w:r w:rsidRPr="00B0298D">
                    <w:rPr>
                      <w:rFonts w:eastAsia="Times New Roman" w:cs="Arial"/>
                      <w:bCs/>
                      <w:sz w:val="12"/>
                      <w:szCs w:val="12"/>
                      <w:lang w:eastAsia="da-DK"/>
                    </w:rPr>
                    <w:t>(-=gevinst)</w:t>
                  </w:r>
                </w:p>
              </w:tc>
              <w:tc>
                <w:tcPr>
                  <w:tcW w:w="944" w:type="dxa"/>
                  <w:tcBorders>
                    <w:top w:val="single" w:sz="4" w:space="0" w:color="E9EFEC"/>
                    <w:left w:val="dashed" w:sz="4" w:space="0" w:color="auto"/>
                    <w:bottom w:val="single" w:sz="4" w:space="0" w:color="auto"/>
                    <w:right w:val="nil"/>
                  </w:tcBorders>
                  <w:shd w:val="clear" w:color="000000" w:fill="E9EFEC"/>
                  <w:vAlign w:val="bottom"/>
                  <w:hideMark/>
                </w:tcPr>
                <w:p w:rsidR="00DF03B4" w:rsidRPr="00B0298D" w:rsidRDefault="004346C2" w:rsidP="00F21D96">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M</w:t>
                  </w:r>
                  <w:r w:rsidR="00DF03B4" w:rsidRPr="00B0298D">
                    <w:rPr>
                      <w:rFonts w:eastAsia="Times New Roman" w:cs="Arial"/>
                      <w:i/>
                      <w:iCs/>
                      <w:sz w:val="12"/>
                      <w:szCs w:val="12"/>
                      <w:lang w:eastAsia="da-DK"/>
                    </w:rPr>
                    <w:t>io. kr</w:t>
                  </w:r>
                  <w:r w:rsidRPr="00B0298D">
                    <w:rPr>
                      <w:rFonts w:eastAsia="Times New Roman" w:cs="Arial"/>
                      <w:i/>
                      <w:iCs/>
                      <w:sz w:val="12"/>
                      <w:szCs w:val="12"/>
                      <w:lang w:eastAsia="da-DK"/>
                    </w:rPr>
                    <w:t>.</w:t>
                  </w:r>
                </w:p>
                <w:p w:rsidR="00B0298D" w:rsidRPr="00B0298D" w:rsidRDefault="00B0298D" w:rsidP="00F21D96">
                  <w:pPr>
                    <w:spacing w:after="0" w:line="240" w:lineRule="auto"/>
                    <w:rPr>
                      <w:rFonts w:eastAsia="Times New Roman" w:cs="Arial"/>
                      <w:i/>
                      <w:iCs/>
                      <w:sz w:val="12"/>
                      <w:szCs w:val="12"/>
                      <w:lang w:eastAsia="da-DK"/>
                    </w:rPr>
                  </w:pPr>
                  <w:r w:rsidRPr="00B0298D">
                    <w:rPr>
                      <w:rFonts w:eastAsia="Times New Roman" w:cs="Arial"/>
                      <w:bCs/>
                      <w:sz w:val="12"/>
                      <w:szCs w:val="12"/>
                      <w:lang w:eastAsia="da-DK"/>
                    </w:rPr>
                    <w:t>(+=gevinst)</w:t>
                  </w:r>
                </w:p>
              </w:tc>
              <w:tc>
                <w:tcPr>
                  <w:tcW w:w="1134" w:type="dxa"/>
                  <w:tcBorders>
                    <w:top w:val="nil"/>
                    <w:left w:val="nil"/>
                    <w:bottom w:val="single" w:sz="4" w:space="0" w:color="auto"/>
                    <w:right w:val="dashed" w:sz="4" w:space="0" w:color="auto"/>
                  </w:tcBorders>
                  <w:shd w:val="clear" w:color="000000" w:fill="E9EFEC"/>
                  <w:vAlign w:val="bottom"/>
                  <w:hideMark/>
                </w:tcPr>
                <w:p w:rsidR="00DF03B4" w:rsidRPr="00B0298D" w:rsidRDefault="004346C2" w:rsidP="00DF03B4">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P</w:t>
                  </w:r>
                  <w:r w:rsidR="00DF03B4" w:rsidRPr="00B0298D">
                    <w:rPr>
                      <w:rFonts w:eastAsia="Times New Roman" w:cs="Arial"/>
                      <w:i/>
                      <w:iCs/>
                      <w:sz w:val="12"/>
                      <w:szCs w:val="12"/>
                      <w:lang w:eastAsia="da-DK"/>
                    </w:rPr>
                    <w:t>ct. af beskatningsniveau</w:t>
                  </w:r>
                </w:p>
                <w:p w:rsidR="003152FB" w:rsidRPr="00B0298D" w:rsidRDefault="003152FB" w:rsidP="00DF03B4">
                  <w:pPr>
                    <w:spacing w:after="0" w:line="240" w:lineRule="auto"/>
                    <w:rPr>
                      <w:rFonts w:eastAsia="Times New Roman" w:cs="Arial"/>
                      <w:i/>
                      <w:iCs/>
                      <w:sz w:val="12"/>
                      <w:szCs w:val="12"/>
                      <w:lang w:eastAsia="da-DK"/>
                    </w:rPr>
                  </w:pPr>
                  <w:r w:rsidRPr="00B0298D">
                    <w:rPr>
                      <w:rFonts w:eastAsia="Times New Roman" w:cs="Arial"/>
                      <w:bCs/>
                      <w:sz w:val="12"/>
                      <w:szCs w:val="12"/>
                      <w:lang w:eastAsia="da-DK"/>
                    </w:rPr>
                    <w:t>(-=gevinst)</w:t>
                  </w:r>
                </w:p>
              </w:tc>
              <w:tc>
                <w:tcPr>
                  <w:tcW w:w="851" w:type="dxa"/>
                  <w:tcBorders>
                    <w:top w:val="single" w:sz="4" w:space="0" w:color="E9EFEC"/>
                    <w:left w:val="dashed" w:sz="4" w:space="0" w:color="auto"/>
                    <w:bottom w:val="single" w:sz="4" w:space="0" w:color="auto"/>
                    <w:right w:val="nil"/>
                  </w:tcBorders>
                  <w:shd w:val="clear" w:color="000000" w:fill="E9EFEC"/>
                  <w:vAlign w:val="bottom"/>
                  <w:hideMark/>
                </w:tcPr>
                <w:p w:rsidR="00DF03B4" w:rsidRPr="00B0298D" w:rsidRDefault="004346C2" w:rsidP="004346C2">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M</w:t>
                  </w:r>
                  <w:r w:rsidR="00DF03B4" w:rsidRPr="00B0298D">
                    <w:rPr>
                      <w:rFonts w:eastAsia="Times New Roman" w:cs="Arial"/>
                      <w:i/>
                      <w:iCs/>
                      <w:sz w:val="12"/>
                      <w:szCs w:val="12"/>
                      <w:lang w:eastAsia="da-DK"/>
                    </w:rPr>
                    <w:t>io. kr</w:t>
                  </w:r>
                  <w:r w:rsidRPr="00B0298D">
                    <w:rPr>
                      <w:rFonts w:eastAsia="Times New Roman" w:cs="Arial"/>
                      <w:i/>
                      <w:iCs/>
                      <w:sz w:val="12"/>
                      <w:szCs w:val="12"/>
                      <w:lang w:eastAsia="da-DK"/>
                    </w:rPr>
                    <w:t>.</w:t>
                  </w:r>
                </w:p>
                <w:p w:rsidR="003152FB" w:rsidRPr="00B0298D" w:rsidRDefault="003152FB" w:rsidP="004346C2">
                  <w:pPr>
                    <w:spacing w:after="0" w:line="240" w:lineRule="auto"/>
                    <w:rPr>
                      <w:rFonts w:eastAsia="Times New Roman" w:cs="Arial"/>
                      <w:i/>
                      <w:iCs/>
                      <w:sz w:val="12"/>
                      <w:szCs w:val="12"/>
                      <w:lang w:eastAsia="da-DK"/>
                    </w:rPr>
                  </w:pPr>
                  <w:r w:rsidRPr="00B0298D">
                    <w:rPr>
                      <w:rFonts w:eastAsia="Times New Roman" w:cs="Arial"/>
                      <w:bCs/>
                      <w:sz w:val="12"/>
                      <w:szCs w:val="12"/>
                      <w:lang w:eastAsia="da-DK"/>
                    </w:rPr>
                    <w:t>(+=gevinst)</w:t>
                  </w:r>
                </w:p>
              </w:tc>
              <w:tc>
                <w:tcPr>
                  <w:tcW w:w="1134" w:type="dxa"/>
                  <w:tcBorders>
                    <w:top w:val="nil"/>
                    <w:left w:val="nil"/>
                    <w:bottom w:val="single" w:sz="4" w:space="0" w:color="auto"/>
                  </w:tcBorders>
                  <w:shd w:val="clear" w:color="000000" w:fill="E9EFEC"/>
                  <w:vAlign w:val="bottom"/>
                  <w:hideMark/>
                </w:tcPr>
                <w:p w:rsidR="00DF03B4" w:rsidRPr="00B0298D" w:rsidRDefault="004346C2" w:rsidP="00DF03B4">
                  <w:pPr>
                    <w:spacing w:after="0" w:line="240" w:lineRule="auto"/>
                    <w:rPr>
                      <w:rFonts w:eastAsia="Times New Roman" w:cs="Arial"/>
                      <w:i/>
                      <w:iCs/>
                      <w:sz w:val="12"/>
                      <w:szCs w:val="12"/>
                      <w:lang w:eastAsia="da-DK"/>
                    </w:rPr>
                  </w:pPr>
                  <w:r w:rsidRPr="00B0298D">
                    <w:rPr>
                      <w:rFonts w:eastAsia="Times New Roman" w:cs="Arial"/>
                      <w:i/>
                      <w:iCs/>
                      <w:sz w:val="12"/>
                      <w:szCs w:val="12"/>
                      <w:lang w:eastAsia="da-DK"/>
                    </w:rPr>
                    <w:t>P</w:t>
                  </w:r>
                  <w:r w:rsidR="00DF03B4" w:rsidRPr="00B0298D">
                    <w:rPr>
                      <w:rFonts w:eastAsia="Times New Roman" w:cs="Arial"/>
                      <w:i/>
                      <w:iCs/>
                      <w:sz w:val="12"/>
                      <w:szCs w:val="12"/>
                      <w:lang w:eastAsia="da-DK"/>
                    </w:rPr>
                    <w:t>ct. af beskatningsniveau</w:t>
                  </w:r>
                </w:p>
                <w:p w:rsidR="003152FB" w:rsidRPr="00B0298D" w:rsidRDefault="003152FB" w:rsidP="003152FB">
                  <w:pPr>
                    <w:spacing w:after="0" w:line="240" w:lineRule="auto"/>
                    <w:rPr>
                      <w:rFonts w:eastAsia="Times New Roman" w:cs="Arial"/>
                      <w:i/>
                      <w:iCs/>
                      <w:sz w:val="12"/>
                      <w:szCs w:val="12"/>
                      <w:lang w:eastAsia="da-DK"/>
                    </w:rPr>
                  </w:pPr>
                  <w:r w:rsidRPr="00B0298D">
                    <w:rPr>
                      <w:rFonts w:eastAsia="Times New Roman" w:cs="Arial"/>
                      <w:bCs/>
                      <w:sz w:val="12"/>
                      <w:szCs w:val="12"/>
                      <w:lang w:eastAsia="da-DK"/>
                    </w:rPr>
                    <w:t>(-</w:t>
                  </w:r>
                  <w:r w:rsidRPr="00B0298D">
                    <w:rPr>
                      <w:rFonts w:eastAsia="Times New Roman" w:cs="Arial"/>
                      <w:bCs/>
                      <w:sz w:val="12"/>
                      <w:szCs w:val="12"/>
                      <w:lang w:eastAsia="da-DK"/>
                    </w:rPr>
                    <w:t>=</w:t>
                  </w:r>
                  <w:r w:rsidRPr="00B0298D">
                    <w:rPr>
                      <w:rFonts w:eastAsia="Times New Roman" w:cs="Arial"/>
                      <w:bCs/>
                      <w:sz w:val="12"/>
                      <w:szCs w:val="12"/>
                      <w:lang w:eastAsia="da-DK"/>
                    </w:rPr>
                    <w:t>gevinst</w:t>
                  </w:r>
                  <w:r w:rsidRPr="00B0298D">
                    <w:rPr>
                      <w:rFonts w:eastAsia="Times New Roman" w:cs="Arial"/>
                      <w:bCs/>
                      <w:sz w:val="12"/>
                      <w:szCs w:val="12"/>
                      <w:lang w:eastAsia="da-DK"/>
                    </w:rPr>
                    <w:t>)</w:t>
                  </w:r>
                </w:p>
              </w:tc>
            </w:tr>
            <w:tr w:rsidR="00DF03B4" w:rsidRPr="002134AB" w:rsidTr="00B0298D">
              <w:trPr>
                <w:trHeight w:val="142"/>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Ærø</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3,5</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-0,35</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-2,4</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0,24</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1,1</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-0,11</w:t>
                  </w:r>
                </w:p>
              </w:tc>
            </w:tr>
            <w:tr w:rsidR="00DF03B4" w:rsidRPr="002134AB" w:rsidTr="00B0298D">
              <w:trPr>
                <w:trHeight w:val="116"/>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Samsø</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1,8</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-0,29</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-1,4</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0,23</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0,4</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-0,06</w:t>
                  </w:r>
                </w:p>
              </w:tc>
            </w:tr>
            <w:tr w:rsidR="00DF03B4" w:rsidRPr="002134AB" w:rsidTr="00B0298D">
              <w:trPr>
                <w:trHeight w:val="118"/>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Morsø</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4,7</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-0,15</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-2,8</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0,09</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1,9</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-0,06</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Albertslund</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0,3</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-0,01</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2,4</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2,6</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-0,06</w:t>
                  </w:r>
                </w:p>
              </w:tc>
            </w:tr>
            <w:tr w:rsidR="00DF03B4" w:rsidRPr="002134AB" w:rsidTr="00B0298D">
              <w:trPr>
                <w:trHeight w:val="80"/>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Thisted</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6,2</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-0,09</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-2,6</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0,04</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3,6</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r>
            <w:tr w:rsidR="00DF03B4" w:rsidRPr="002134AB" w:rsidTr="00B0298D">
              <w:trPr>
                <w:trHeight w:val="68"/>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Skanderborg</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0,2</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0,00</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5,0</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5,3</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Ishøj</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-1,1</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0,03</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2,8</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-0,08</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1,7</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Bornholm</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12,3</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-0,20</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-9,4</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0,15</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2,9</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Tønder</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7,1</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-0,12</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-4,7</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0,08</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2,4</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-0,04</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rPr>
                      <w:rFonts w:eastAsia="Times New Roman" w:cs="Times New Roman"/>
                      <w:sz w:val="12"/>
                      <w:szCs w:val="12"/>
                      <w:lang w:eastAsia="da-DK"/>
                    </w:rPr>
                  </w:pPr>
                  <w:r w:rsidRPr="002134AB">
                    <w:rPr>
                      <w:rFonts w:eastAsia="Times New Roman" w:cs="Times New Roman"/>
                      <w:sz w:val="12"/>
                      <w:szCs w:val="12"/>
                      <w:lang w:eastAsia="da-DK"/>
                    </w:rPr>
                    <w:t>Billund</w:t>
                  </w:r>
                </w:p>
              </w:tc>
              <w:tc>
                <w:tcPr>
                  <w:tcW w:w="709" w:type="dxa"/>
                  <w:tcBorders>
                    <w:top w:val="nil"/>
                    <w:left w:val="nil"/>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2,4</w:t>
                  </w:r>
                </w:p>
              </w:tc>
              <w:tc>
                <w:tcPr>
                  <w:tcW w:w="1237"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-0,05</w:t>
                  </w:r>
                </w:p>
              </w:tc>
              <w:tc>
                <w:tcPr>
                  <w:tcW w:w="944"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-0,6</w:t>
                  </w:r>
                </w:p>
              </w:tc>
              <w:tc>
                <w:tcPr>
                  <w:tcW w:w="1134" w:type="dxa"/>
                  <w:tcBorders>
                    <w:top w:val="nil"/>
                    <w:left w:val="nil"/>
                    <w:bottom w:val="single" w:sz="4" w:space="0" w:color="E9EFEC"/>
                    <w:right w:val="dashed" w:sz="4" w:space="0" w:color="auto"/>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0,01</w:t>
                  </w:r>
                </w:p>
              </w:tc>
              <w:tc>
                <w:tcPr>
                  <w:tcW w:w="851" w:type="dxa"/>
                  <w:tcBorders>
                    <w:top w:val="nil"/>
                    <w:left w:val="dashed" w:sz="4" w:space="0" w:color="auto"/>
                    <w:bottom w:val="single" w:sz="4" w:space="0" w:color="E9EFEC"/>
                    <w:right w:val="nil"/>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1,8</w:t>
                  </w:r>
                </w:p>
              </w:tc>
              <w:tc>
                <w:tcPr>
                  <w:tcW w:w="1134" w:type="dxa"/>
                  <w:tcBorders>
                    <w:top w:val="nil"/>
                    <w:left w:val="nil"/>
                    <w:bottom w:val="single" w:sz="4" w:space="0" w:color="E9EFEC"/>
                  </w:tcBorders>
                  <w:shd w:val="clear" w:color="000000" w:fill="E9EFEC"/>
                  <w:vAlign w:val="bottom"/>
                  <w:hideMark/>
                </w:tcPr>
                <w:p w:rsidR="00DF03B4" w:rsidRPr="002134AB" w:rsidRDefault="00DF03B4" w:rsidP="00DF03B4">
                  <w:pPr>
                    <w:spacing w:after="0" w:line="240" w:lineRule="auto"/>
                    <w:jc w:val="center"/>
                    <w:rPr>
                      <w:rFonts w:eastAsia="Times New Roman" w:cs="Times New Roman"/>
                      <w:sz w:val="12"/>
                      <w:szCs w:val="12"/>
                      <w:lang w:eastAsia="da-DK"/>
                    </w:rPr>
                  </w:pPr>
                  <w:r w:rsidRPr="002134AB">
                    <w:rPr>
                      <w:rFonts w:eastAsia="Times New Roman" w:cs="Times New Roman"/>
                      <w:sz w:val="12"/>
                      <w:szCs w:val="12"/>
                      <w:lang w:eastAsia="da-DK"/>
                    </w:rPr>
                    <w:t>-0,04</w:t>
                  </w:r>
                </w:p>
              </w:tc>
            </w:tr>
            <w:tr w:rsidR="00DF03B4" w:rsidRPr="002134AB" w:rsidTr="00B0298D">
              <w:trPr>
                <w:trHeight w:val="64"/>
              </w:trPr>
              <w:tc>
                <w:tcPr>
                  <w:tcW w:w="1026" w:type="dxa"/>
                  <w:tcBorders>
                    <w:top w:val="nil"/>
                    <w:left w:val="nil"/>
                    <w:bottom w:val="single" w:sz="4" w:space="0" w:color="E9EFEC"/>
                    <w:right w:val="nil"/>
                  </w:tcBorders>
                  <w:shd w:val="clear" w:color="000000" w:fill="E9EFEC"/>
                  <w:vAlign w:val="bottom"/>
                </w:tcPr>
                <w:p w:rsidR="00DF03B4" w:rsidRPr="002134AB" w:rsidRDefault="00DF03B4" w:rsidP="00DF03B4">
                  <w:pPr>
                    <w:spacing w:after="0" w:line="240" w:lineRule="auto"/>
                    <w:rPr>
                      <w:rFonts w:eastAsia="Times New Roman" w:cs="Times New Roman"/>
                      <w:sz w:val="12"/>
                      <w:szCs w:val="12"/>
                      <w:lang w:eastAsia="da-DK"/>
                    </w:rPr>
                  </w:pPr>
                </w:p>
              </w:tc>
              <w:tc>
                <w:tcPr>
                  <w:tcW w:w="709" w:type="dxa"/>
                  <w:tcBorders>
                    <w:top w:val="nil"/>
                    <w:left w:val="nil"/>
                    <w:bottom w:val="single" w:sz="4" w:space="0" w:color="E9EFEC"/>
                    <w:right w:val="nil"/>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c>
                <w:tcPr>
                  <w:tcW w:w="1237" w:type="dxa"/>
                  <w:tcBorders>
                    <w:top w:val="nil"/>
                    <w:left w:val="nil"/>
                    <w:bottom w:val="single" w:sz="4" w:space="0" w:color="E9EFEC"/>
                    <w:right w:val="dashed" w:sz="4" w:space="0" w:color="auto"/>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c>
                <w:tcPr>
                  <w:tcW w:w="944" w:type="dxa"/>
                  <w:tcBorders>
                    <w:top w:val="nil"/>
                    <w:left w:val="dashed" w:sz="4" w:space="0" w:color="auto"/>
                    <w:bottom w:val="single" w:sz="4" w:space="0" w:color="E9EFEC"/>
                    <w:right w:val="nil"/>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c>
                <w:tcPr>
                  <w:tcW w:w="1134" w:type="dxa"/>
                  <w:tcBorders>
                    <w:top w:val="nil"/>
                    <w:left w:val="nil"/>
                    <w:bottom w:val="single" w:sz="4" w:space="0" w:color="E9EFEC"/>
                    <w:right w:val="dashed" w:sz="4" w:space="0" w:color="auto"/>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c>
                <w:tcPr>
                  <w:tcW w:w="851" w:type="dxa"/>
                  <w:tcBorders>
                    <w:top w:val="nil"/>
                    <w:left w:val="dashed" w:sz="4" w:space="0" w:color="auto"/>
                    <w:bottom w:val="single" w:sz="4" w:space="0" w:color="E9EFEC"/>
                    <w:right w:val="nil"/>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c>
                <w:tcPr>
                  <w:tcW w:w="1134" w:type="dxa"/>
                  <w:tcBorders>
                    <w:top w:val="nil"/>
                    <w:left w:val="nil"/>
                    <w:bottom w:val="single" w:sz="4" w:space="0" w:color="E9EFEC"/>
                  </w:tcBorders>
                  <w:shd w:val="clear" w:color="000000" w:fill="E9EFEC"/>
                  <w:vAlign w:val="bottom"/>
                </w:tcPr>
                <w:p w:rsidR="00DF03B4" w:rsidRPr="002134AB" w:rsidRDefault="00DF03B4" w:rsidP="00DF03B4">
                  <w:pPr>
                    <w:spacing w:after="0" w:line="240" w:lineRule="auto"/>
                    <w:jc w:val="center"/>
                    <w:rPr>
                      <w:rFonts w:eastAsia="Times New Roman" w:cs="Times New Roman"/>
                      <w:sz w:val="12"/>
                      <w:szCs w:val="12"/>
                      <w:lang w:eastAsia="da-DK"/>
                    </w:rPr>
                  </w:pP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Rudersdal</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11,3</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-17,9</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0,10</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-6,5</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0,04</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Glostrup</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1,8</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-0,04</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-3,5</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0,08</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-1,7</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0,04</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Vallensbæk</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0,7</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-0,02</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-1,9</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-1,3</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0,04</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Assens</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6,0</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-0,09</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-8,7</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0,13</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-2,7</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0,04</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Gentofte</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5,9</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-0,02</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-17,3</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0,07</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-11,3</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0,05</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Fanø</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0,9</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-0,12</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-1,2</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0,17</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-0,3</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0,05</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Lyngby-Taarbæk</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7,0</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-0,05</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-15,5</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0,10</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-8,4</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Tårnby</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2,5</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-0,03</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-7,5</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0,09</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-5,0</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Frederiksberg</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-1,1</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0,00</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-13,9</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-15,0</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0,06</w:t>
                  </w:r>
                </w:p>
              </w:tc>
            </w:tr>
            <w:tr w:rsidR="00DF03B4" w:rsidRPr="00600062" w:rsidTr="00B0298D">
              <w:trPr>
                <w:trHeight w:val="64"/>
              </w:trPr>
              <w:tc>
                <w:tcPr>
                  <w:tcW w:w="1026"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rPr>
                      <w:rFonts w:eastAsia="Times New Roman" w:cs="Times New Roman"/>
                      <w:sz w:val="12"/>
                      <w:szCs w:val="12"/>
                      <w:lang w:eastAsia="da-DK"/>
                    </w:rPr>
                  </w:pPr>
                  <w:r w:rsidRPr="00600062">
                    <w:rPr>
                      <w:rFonts w:eastAsia="Times New Roman" w:cs="Times New Roman"/>
                      <w:sz w:val="12"/>
                      <w:szCs w:val="12"/>
                      <w:lang w:eastAsia="da-DK"/>
                    </w:rPr>
                    <w:t>Dragør</w:t>
                  </w:r>
                </w:p>
              </w:tc>
              <w:tc>
                <w:tcPr>
                  <w:tcW w:w="709" w:type="dxa"/>
                  <w:tcBorders>
                    <w:top w:val="nil"/>
                    <w:left w:val="nil"/>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3,0</w:t>
                  </w:r>
                </w:p>
              </w:tc>
              <w:tc>
                <w:tcPr>
                  <w:tcW w:w="1237"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-0,09</w:t>
                  </w:r>
                </w:p>
              </w:tc>
              <w:tc>
                <w:tcPr>
                  <w:tcW w:w="944"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-5,5</w:t>
                  </w:r>
                </w:p>
              </w:tc>
              <w:tc>
                <w:tcPr>
                  <w:tcW w:w="1134" w:type="dxa"/>
                  <w:tcBorders>
                    <w:top w:val="nil"/>
                    <w:left w:val="nil"/>
                    <w:bottom w:val="single" w:sz="4" w:space="0" w:color="E9EFEC"/>
                    <w:right w:val="dashed" w:sz="4" w:space="0" w:color="auto"/>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0,15</w:t>
                  </w:r>
                </w:p>
              </w:tc>
              <w:tc>
                <w:tcPr>
                  <w:tcW w:w="851" w:type="dxa"/>
                  <w:tcBorders>
                    <w:top w:val="nil"/>
                    <w:left w:val="dashed" w:sz="4" w:space="0" w:color="auto"/>
                    <w:bottom w:val="single" w:sz="4" w:space="0" w:color="E9EFEC"/>
                    <w:right w:val="nil"/>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-2,4</w:t>
                  </w:r>
                </w:p>
              </w:tc>
              <w:tc>
                <w:tcPr>
                  <w:tcW w:w="1134" w:type="dxa"/>
                  <w:tcBorders>
                    <w:top w:val="nil"/>
                    <w:left w:val="nil"/>
                    <w:bottom w:val="single" w:sz="4" w:space="0" w:color="E9EFEC"/>
                  </w:tcBorders>
                  <w:shd w:val="clear" w:color="000000" w:fill="E9EFEC"/>
                </w:tcPr>
                <w:p w:rsidR="00DF03B4" w:rsidRPr="00600062" w:rsidRDefault="00DF03B4" w:rsidP="00DF03B4">
                  <w:pPr>
                    <w:spacing w:after="0" w:line="240" w:lineRule="auto"/>
                    <w:jc w:val="center"/>
                    <w:rPr>
                      <w:rFonts w:eastAsia="Times New Roman" w:cs="Times New Roman"/>
                      <w:sz w:val="12"/>
                      <w:szCs w:val="12"/>
                      <w:lang w:eastAsia="da-DK"/>
                    </w:rPr>
                  </w:pPr>
                  <w:r w:rsidRPr="00600062">
                    <w:rPr>
                      <w:rFonts w:eastAsia="Times New Roman" w:cs="Times New Roman"/>
                      <w:sz w:val="12"/>
                      <w:szCs w:val="12"/>
                      <w:lang w:eastAsia="da-DK"/>
                    </w:rPr>
                    <w:t>0,07</w:t>
                  </w:r>
                </w:p>
              </w:tc>
            </w:tr>
          </w:tbl>
          <w:p w:rsidR="00DF03B4" w:rsidRPr="000C2714" w:rsidRDefault="00DF03B4" w:rsidP="00DF03B4">
            <w:pPr>
              <w:jc w:val="both"/>
              <w:rPr>
                <w:rFonts w:ascii="Calibri" w:hAnsi="Calibri"/>
                <w:sz w:val="14"/>
              </w:rPr>
            </w:pPr>
          </w:p>
        </w:tc>
      </w:tr>
      <w:tr w:rsidR="00DF03B4" w:rsidTr="00DF03B4">
        <w:tc>
          <w:tcPr>
            <w:tcW w:w="7371" w:type="dxa"/>
            <w:shd w:val="clear" w:color="auto" w:fill="E9EFEC"/>
          </w:tcPr>
          <w:p w:rsidR="004346C2" w:rsidRPr="00D23E28" w:rsidRDefault="004346C2" w:rsidP="004346C2">
            <w:pPr>
              <w:spacing w:line="240" w:lineRule="auto"/>
              <w:jc w:val="both"/>
              <w:rPr>
                <w:rFonts w:asciiTheme="minorHAnsi" w:hAnsiTheme="minorHAnsi"/>
                <w:sz w:val="12"/>
                <w:szCs w:val="12"/>
              </w:rPr>
            </w:pPr>
            <w:r w:rsidRPr="00D23E28">
              <w:rPr>
                <w:rFonts w:asciiTheme="minorHAnsi" w:hAnsiTheme="minorHAnsi"/>
                <w:sz w:val="12"/>
                <w:szCs w:val="12"/>
              </w:rPr>
              <w:t>Anm.: Til opgørelse af de byrdefordelingsmæssige virkninger er foretaget tekniske konsekvensberegninger. Beregningerne er foretaget ud for antagelser om ”alt andet lige” forhold, hvor alene de foreslåede ændringer af ordningen gennemføres med udgangspunkt i den faktiske aktivitet i 2014</w:t>
            </w:r>
            <w:r>
              <w:rPr>
                <w:rFonts w:asciiTheme="minorHAnsi" w:hAnsiTheme="minorHAnsi"/>
                <w:sz w:val="12"/>
                <w:szCs w:val="12"/>
              </w:rPr>
              <w:t xml:space="preserve"> og 2015</w:t>
            </w:r>
            <w:r w:rsidRPr="00D23E28">
              <w:rPr>
                <w:rFonts w:asciiTheme="minorHAnsi" w:hAnsiTheme="minorHAnsi"/>
                <w:sz w:val="12"/>
                <w:szCs w:val="12"/>
              </w:rPr>
              <w:t>. Der er i beregningerne foretaget en korrektion for gennemslag i det aldersbetingede udgiftsbehov. Der er ikke foretaget vurderinger og/eller antagelser om de adfærdsmæssige muligheder for påvirkning af de byrdefordelingsmæssige konsekvenser.</w:t>
            </w:r>
          </w:p>
          <w:p w:rsidR="00DF03B4" w:rsidRPr="000C2714" w:rsidRDefault="00DF03B4" w:rsidP="00DF03B4">
            <w:pPr>
              <w:spacing w:line="240" w:lineRule="auto"/>
              <w:jc w:val="both"/>
              <w:rPr>
                <w:rFonts w:ascii="Calibri" w:hAnsi="Calibri"/>
                <w:sz w:val="12"/>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r>
    </w:tbl>
    <w:p w:rsidR="00DF03B4" w:rsidRDefault="00DF03B4" w:rsidP="00F21D96">
      <w:pPr>
        <w:spacing w:after="0"/>
        <w:jc w:val="both"/>
        <w:rPr>
          <w:rFonts w:ascii="Garamond" w:hAnsi="Garamond"/>
          <w:sz w:val="24"/>
          <w:szCs w:val="24"/>
        </w:rPr>
      </w:pPr>
    </w:p>
    <w:p w:rsidR="0017212C" w:rsidRDefault="004346C2" w:rsidP="00DF03B4">
      <w:pPr>
        <w:jc w:val="both"/>
        <w:rPr>
          <w:rFonts w:ascii="Garamond" w:hAnsi="Garamond"/>
          <w:sz w:val="24"/>
          <w:szCs w:val="24"/>
        </w:rPr>
      </w:pPr>
      <w:r>
        <w:rPr>
          <w:rFonts w:ascii="Garamond" w:hAnsi="Garamond"/>
          <w:sz w:val="24"/>
          <w:szCs w:val="24"/>
        </w:rPr>
        <w:t>S</w:t>
      </w:r>
      <w:r w:rsidR="0017212C">
        <w:rPr>
          <w:rFonts w:ascii="Garamond" w:hAnsi="Garamond"/>
          <w:sz w:val="24"/>
          <w:szCs w:val="24"/>
        </w:rPr>
        <w:t xml:space="preserve">et </w:t>
      </w:r>
      <w:r>
        <w:rPr>
          <w:rFonts w:ascii="Garamond" w:hAnsi="Garamond"/>
          <w:sz w:val="24"/>
          <w:szCs w:val="24"/>
        </w:rPr>
        <w:t xml:space="preserve">på regionsniveau </w:t>
      </w:r>
      <w:r w:rsidR="0017212C">
        <w:rPr>
          <w:rFonts w:ascii="Garamond" w:hAnsi="Garamond"/>
          <w:sz w:val="24"/>
          <w:szCs w:val="24"/>
        </w:rPr>
        <w:t>er der beregnet en gevinst for en række kommuner i regionerne Nordjylland, Midtjylland, Syddanmark og Sjælland, mens flere kommuner i Region Hovedstaden og nogle af de større bykommuner har et beregnet tab</w:t>
      </w:r>
      <w:r w:rsidR="0017212C" w:rsidRPr="0017212C">
        <w:rPr>
          <w:rFonts w:ascii="Garamond" w:hAnsi="Garamond"/>
          <w:i/>
          <w:sz w:val="24"/>
          <w:szCs w:val="24"/>
        </w:rPr>
        <w:t>, jf. figur 3.1</w:t>
      </w:r>
      <w:r w:rsidR="00D7608A">
        <w:rPr>
          <w:rFonts w:ascii="Garamond" w:hAnsi="Garamond"/>
          <w:i/>
          <w:sz w:val="24"/>
          <w:szCs w:val="24"/>
        </w:rPr>
        <w:t>8</w:t>
      </w:r>
      <w:r w:rsidR="0017212C" w:rsidRPr="0017212C">
        <w:rPr>
          <w:rFonts w:ascii="Garamond" w:hAnsi="Garamond"/>
          <w:i/>
          <w:sz w:val="24"/>
          <w:szCs w:val="24"/>
        </w:rPr>
        <w:t xml:space="preserve"> og tabel 3.1</w:t>
      </w:r>
      <w:r w:rsidR="00D7608A">
        <w:rPr>
          <w:rFonts w:ascii="Garamond" w:hAnsi="Garamond"/>
          <w:i/>
          <w:sz w:val="24"/>
          <w:szCs w:val="24"/>
        </w:rPr>
        <w:t>9</w:t>
      </w:r>
      <w:r w:rsidR="0017212C">
        <w:rPr>
          <w:rFonts w:ascii="Garamond" w:hAnsi="Garamond"/>
          <w:sz w:val="24"/>
          <w:szCs w:val="24"/>
        </w:rPr>
        <w:t>.</w:t>
      </w:r>
    </w:p>
    <w:tbl>
      <w:tblPr>
        <w:tblStyle w:val="Tabel-Gitter"/>
        <w:tblW w:w="7762"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3828"/>
        <w:gridCol w:w="3934"/>
      </w:tblGrid>
      <w:tr w:rsidR="00DF03B4" w:rsidTr="00DF03B4">
        <w:tc>
          <w:tcPr>
            <w:tcW w:w="3828" w:type="dxa"/>
            <w:shd w:val="clear" w:color="auto" w:fill="E9EFEC"/>
          </w:tcPr>
          <w:p w:rsidR="00DF03B4" w:rsidRPr="000C2714" w:rsidRDefault="0017212C" w:rsidP="00DF03B4">
            <w:pPr>
              <w:spacing w:line="240" w:lineRule="auto"/>
              <w:rPr>
                <w:rFonts w:ascii="Calibri" w:hAnsi="Calibri"/>
                <w:b/>
                <w:sz w:val="16"/>
              </w:rPr>
            </w:pPr>
            <w:r>
              <w:rPr>
                <w:rFonts w:ascii="Calibri" w:hAnsi="Calibri"/>
                <w:b/>
                <w:sz w:val="16"/>
              </w:rPr>
              <w:t>Figur 3.1</w:t>
            </w:r>
            <w:r w:rsidR="00D7608A">
              <w:rPr>
                <w:rFonts w:ascii="Calibri" w:hAnsi="Calibri"/>
                <w:b/>
                <w:sz w:val="16"/>
              </w:rPr>
              <w:t>8</w:t>
            </w:r>
            <w:r w:rsidR="00DF03B4" w:rsidRPr="000C2714">
              <w:rPr>
                <w:rFonts w:ascii="Calibri" w:hAnsi="Calibri"/>
                <w:b/>
                <w:sz w:val="16"/>
              </w:rPr>
              <w:br/>
            </w:r>
            <w:r w:rsidR="00DF03B4" w:rsidRPr="00AD1927">
              <w:rPr>
                <w:rFonts w:ascii="Calibri" w:hAnsi="Calibri"/>
                <w:b/>
                <w:sz w:val="16"/>
              </w:rPr>
              <w:t xml:space="preserve">Økonomiske konsekvenser for kommunerne </w:t>
            </w:r>
            <w:r w:rsidR="00DF03B4">
              <w:rPr>
                <w:rFonts w:ascii="Calibri" w:hAnsi="Calibri"/>
                <w:b/>
                <w:sz w:val="16"/>
              </w:rPr>
              <w:t>af en aldersdifferentiering KMF, 2014</w:t>
            </w:r>
          </w:p>
        </w:tc>
        <w:tc>
          <w:tcPr>
            <w:tcW w:w="3934" w:type="dxa"/>
            <w:shd w:val="clear" w:color="auto" w:fill="E9EFEC"/>
          </w:tcPr>
          <w:p w:rsidR="00DF03B4" w:rsidRPr="000C2714" w:rsidRDefault="0017212C" w:rsidP="00DF03B4">
            <w:pPr>
              <w:spacing w:line="240" w:lineRule="auto"/>
              <w:rPr>
                <w:rFonts w:ascii="Calibri" w:hAnsi="Calibri"/>
                <w:b/>
                <w:sz w:val="16"/>
              </w:rPr>
            </w:pPr>
            <w:r>
              <w:rPr>
                <w:rFonts w:ascii="Calibri" w:hAnsi="Calibri"/>
                <w:b/>
                <w:sz w:val="16"/>
              </w:rPr>
              <w:t>Tabel 3.1</w:t>
            </w:r>
            <w:r w:rsidR="00D7608A">
              <w:rPr>
                <w:rFonts w:ascii="Calibri" w:hAnsi="Calibri"/>
                <w:b/>
                <w:sz w:val="16"/>
              </w:rPr>
              <w:t>9</w:t>
            </w:r>
            <w:r w:rsidR="00DF03B4" w:rsidRPr="000C2714">
              <w:rPr>
                <w:rFonts w:ascii="Calibri" w:hAnsi="Calibri"/>
                <w:b/>
                <w:sz w:val="16"/>
              </w:rPr>
              <w:br/>
            </w:r>
            <w:r w:rsidR="00DF03B4" w:rsidRPr="00AD1927">
              <w:rPr>
                <w:rFonts w:ascii="Calibri" w:hAnsi="Calibri"/>
                <w:b/>
                <w:sz w:val="16"/>
              </w:rPr>
              <w:t>Økonomiske konsekvenser for kommunerne</w:t>
            </w:r>
            <w:r w:rsidR="00DF03B4">
              <w:rPr>
                <w:rFonts w:ascii="Calibri" w:hAnsi="Calibri"/>
                <w:b/>
                <w:sz w:val="16"/>
              </w:rPr>
              <w:t xml:space="preserve"> </w:t>
            </w:r>
            <w:r w:rsidR="00DF03B4" w:rsidRPr="00AD1927">
              <w:rPr>
                <w:rFonts w:ascii="Calibri" w:hAnsi="Calibri"/>
                <w:b/>
                <w:sz w:val="16"/>
              </w:rPr>
              <w:t xml:space="preserve">af </w:t>
            </w:r>
            <w:r w:rsidR="00DF03B4">
              <w:rPr>
                <w:rFonts w:ascii="Calibri" w:hAnsi="Calibri"/>
                <w:b/>
                <w:sz w:val="16"/>
              </w:rPr>
              <w:t xml:space="preserve">en aldersdifferentieret KMF, 2014 og 2015, regionsfordelt </w:t>
            </w:r>
          </w:p>
        </w:tc>
      </w:tr>
      <w:tr w:rsidR="00DF03B4" w:rsidTr="00DF03B4">
        <w:trPr>
          <w:trHeight w:val="3764"/>
        </w:trPr>
        <w:tc>
          <w:tcPr>
            <w:tcW w:w="3828" w:type="dxa"/>
            <w:shd w:val="clear" w:color="auto" w:fill="E9EFEC"/>
          </w:tcPr>
          <w:p w:rsidR="00DF03B4" w:rsidRPr="000C2714" w:rsidRDefault="00DF03B4" w:rsidP="00DF03B4">
            <w:pPr>
              <w:jc w:val="both"/>
              <w:rPr>
                <w:rFonts w:ascii="Calibri" w:hAnsi="Calibri"/>
                <w:sz w:val="14"/>
              </w:rPr>
            </w:pPr>
            <w:r>
              <w:rPr>
                <w:rFonts w:ascii="Calibri" w:hAnsi="Calibri"/>
                <w:noProof/>
                <w:sz w:val="14"/>
              </w:rPr>
              <w:drawing>
                <wp:inline distT="0" distB="0" distL="0" distR="0" wp14:anchorId="02D2157B" wp14:editId="508ED345">
                  <wp:extent cx="1907389" cy="25920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ste_KMF_M4-re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07389" cy="2592000"/>
                          </a:xfrm>
                          <a:prstGeom prst="rect">
                            <a:avLst/>
                          </a:prstGeom>
                        </pic:spPr>
                      </pic:pic>
                    </a:graphicData>
                  </a:graphic>
                </wp:inline>
              </w:drawing>
            </w:r>
          </w:p>
        </w:tc>
        <w:tc>
          <w:tcPr>
            <w:tcW w:w="3934" w:type="dxa"/>
            <w:shd w:val="clear" w:color="auto" w:fill="E9EFEC"/>
          </w:tcPr>
          <w:tbl>
            <w:tblPr>
              <w:tblpPr w:leftFromText="141" w:rightFromText="141" w:vertAnchor="text" w:horzAnchor="margin" w:tblpY="-149"/>
              <w:tblOverlap w:val="never"/>
              <w:tblW w:w="3828" w:type="dxa"/>
              <w:tblLayout w:type="fixed"/>
              <w:tblCellMar>
                <w:left w:w="70" w:type="dxa"/>
                <w:right w:w="70" w:type="dxa"/>
              </w:tblCellMar>
              <w:tblLook w:val="04A0" w:firstRow="1" w:lastRow="0" w:firstColumn="1" w:lastColumn="0" w:noHBand="0" w:noVBand="1"/>
            </w:tblPr>
            <w:tblGrid>
              <w:gridCol w:w="1560"/>
              <w:gridCol w:w="1134"/>
              <w:gridCol w:w="1134"/>
            </w:tblGrid>
            <w:tr w:rsidR="00DF03B4" w:rsidRPr="00BD5DDA" w:rsidTr="00DF03B4">
              <w:trPr>
                <w:trHeight w:val="282"/>
              </w:trPr>
              <w:tc>
                <w:tcPr>
                  <w:tcW w:w="1560" w:type="dxa"/>
                  <w:tcBorders>
                    <w:left w:val="nil"/>
                    <w:bottom w:val="single" w:sz="4" w:space="0" w:color="auto"/>
                    <w:right w:val="nil"/>
                  </w:tcBorders>
                  <w:shd w:val="clear" w:color="000000" w:fill="E9EFEC"/>
                  <w:noWrap/>
                  <w:vAlign w:val="center"/>
                  <w:hideMark/>
                </w:tcPr>
                <w:p w:rsidR="00DF03B4" w:rsidRPr="00BD5DDA" w:rsidRDefault="00DF03B4" w:rsidP="00DF03B4">
                  <w:pPr>
                    <w:spacing w:after="0" w:line="240" w:lineRule="auto"/>
                    <w:jc w:val="both"/>
                    <w:rPr>
                      <w:rFonts w:cs="Arial"/>
                      <w:i/>
                      <w:iCs/>
                      <w:color w:val="000000"/>
                      <w:sz w:val="12"/>
                      <w:szCs w:val="12"/>
                      <w:lang w:eastAsia="da-DK"/>
                    </w:rPr>
                  </w:pPr>
                  <w:r w:rsidRPr="00BD5DDA">
                    <w:rPr>
                      <w:rFonts w:cs="Arial"/>
                      <w:i/>
                      <w:iCs/>
                      <w:color w:val="000000"/>
                      <w:sz w:val="12"/>
                      <w:szCs w:val="12"/>
                      <w:lang w:eastAsia="da-DK"/>
                    </w:rPr>
                    <w:t> </w:t>
                  </w:r>
                </w:p>
              </w:tc>
              <w:tc>
                <w:tcPr>
                  <w:tcW w:w="1134" w:type="dxa"/>
                  <w:tcBorders>
                    <w:top w:val="nil"/>
                    <w:left w:val="nil"/>
                    <w:bottom w:val="single" w:sz="4" w:space="0" w:color="auto"/>
                    <w:right w:val="single" w:sz="4" w:space="0" w:color="auto"/>
                  </w:tcBorders>
                  <w:shd w:val="clear" w:color="000000" w:fill="E9EFEC"/>
                  <w:vAlign w:val="center"/>
                  <w:hideMark/>
                </w:tcPr>
                <w:p w:rsidR="00DF03B4" w:rsidRPr="00BD5DDA" w:rsidRDefault="00DF03B4" w:rsidP="00DF03B4">
                  <w:pPr>
                    <w:spacing w:after="0" w:line="240" w:lineRule="auto"/>
                    <w:jc w:val="center"/>
                    <w:rPr>
                      <w:rFonts w:cs="Arial"/>
                      <w:i/>
                      <w:color w:val="000000"/>
                      <w:sz w:val="12"/>
                      <w:szCs w:val="12"/>
                      <w:lang w:eastAsia="da-DK"/>
                    </w:rPr>
                  </w:pPr>
                  <w:r w:rsidRPr="00BD5DDA">
                    <w:rPr>
                      <w:rFonts w:cs="Arial"/>
                      <w:i/>
                      <w:color w:val="000000"/>
                      <w:sz w:val="12"/>
                      <w:szCs w:val="12"/>
                      <w:lang w:eastAsia="da-DK"/>
                    </w:rPr>
                    <w:t>2014</w:t>
                  </w:r>
                </w:p>
              </w:tc>
              <w:tc>
                <w:tcPr>
                  <w:tcW w:w="1134" w:type="dxa"/>
                  <w:tcBorders>
                    <w:top w:val="nil"/>
                    <w:left w:val="single" w:sz="4" w:space="0" w:color="auto"/>
                    <w:bottom w:val="single" w:sz="4" w:space="0" w:color="auto"/>
                    <w:right w:val="nil"/>
                  </w:tcBorders>
                  <w:shd w:val="clear" w:color="000000" w:fill="E9EFEC"/>
                  <w:vAlign w:val="center"/>
                  <w:hideMark/>
                </w:tcPr>
                <w:p w:rsidR="00DF03B4" w:rsidRPr="00BD5DDA" w:rsidRDefault="00DF03B4" w:rsidP="00DF03B4">
                  <w:pPr>
                    <w:spacing w:after="0" w:line="240" w:lineRule="auto"/>
                    <w:jc w:val="center"/>
                    <w:rPr>
                      <w:rFonts w:cs="Arial"/>
                      <w:i/>
                      <w:color w:val="000000"/>
                      <w:sz w:val="12"/>
                      <w:szCs w:val="12"/>
                      <w:lang w:eastAsia="da-DK"/>
                    </w:rPr>
                  </w:pPr>
                  <w:r w:rsidRPr="00BD5DDA">
                    <w:rPr>
                      <w:rFonts w:cs="Arial"/>
                      <w:i/>
                      <w:color w:val="000000"/>
                      <w:sz w:val="12"/>
                      <w:szCs w:val="12"/>
                      <w:lang w:eastAsia="da-DK"/>
                    </w:rPr>
                    <w:t>2015</w:t>
                  </w:r>
                </w:p>
              </w:tc>
            </w:tr>
            <w:tr w:rsidR="00DF03B4" w:rsidRPr="001B56A0" w:rsidTr="00DF03B4">
              <w:trPr>
                <w:trHeight w:val="210"/>
              </w:trPr>
              <w:tc>
                <w:tcPr>
                  <w:tcW w:w="1560" w:type="dxa"/>
                  <w:tcBorders>
                    <w:top w:val="single" w:sz="4" w:space="0" w:color="auto"/>
                    <w:left w:val="nil"/>
                    <w:bottom w:val="nil"/>
                    <w:right w:val="nil"/>
                  </w:tcBorders>
                  <w:shd w:val="clear" w:color="000000" w:fill="E9EFEC"/>
                  <w:noWrap/>
                  <w:vAlign w:val="center"/>
                  <w:hideMark/>
                </w:tcPr>
                <w:p w:rsidR="00DF03B4" w:rsidRDefault="00DF03B4" w:rsidP="00B0298D">
                  <w:pPr>
                    <w:spacing w:after="0" w:line="240" w:lineRule="auto"/>
                    <w:jc w:val="both"/>
                    <w:rPr>
                      <w:rFonts w:cs="Arial"/>
                      <w:i/>
                      <w:iCs/>
                      <w:color w:val="000000"/>
                      <w:sz w:val="12"/>
                      <w:szCs w:val="12"/>
                      <w:lang w:eastAsia="da-DK"/>
                    </w:rPr>
                  </w:pPr>
                  <w:r w:rsidRPr="00CE4D6E">
                    <w:rPr>
                      <w:rFonts w:cs="Arial"/>
                      <w:i/>
                      <w:color w:val="000000"/>
                      <w:sz w:val="12"/>
                      <w:szCs w:val="12"/>
                      <w:lang w:eastAsia="da-DK"/>
                    </w:rPr>
                    <w:t xml:space="preserve">Beregnet </w:t>
                  </w:r>
                  <w:r w:rsidR="00B0298D">
                    <w:rPr>
                      <w:rFonts w:cs="Arial"/>
                      <w:i/>
                      <w:color w:val="000000"/>
                      <w:sz w:val="12"/>
                      <w:szCs w:val="12"/>
                      <w:lang w:eastAsia="da-DK"/>
                    </w:rPr>
                    <w:t>ændring</w:t>
                  </w:r>
                  <w:r>
                    <w:rPr>
                      <w:rFonts w:cs="Arial"/>
                      <w:i/>
                      <w:color w:val="000000"/>
                      <w:sz w:val="12"/>
                      <w:szCs w:val="12"/>
                      <w:lang w:eastAsia="da-DK"/>
                    </w:rPr>
                    <w:t xml:space="preserve"> (</w:t>
                  </w:r>
                  <w:r w:rsidRPr="001B56A0">
                    <w:rPr>
                      <w:rFonts w:cs="Arial"/>
                      <w:i/>
                      <w:iCs/>
                      <w:color w:val="000000"/>
                      <w:sz w:val="12"/>
                      <w:szCs w:val="12"/>
                      <w:lang w:eastAsia="da-DK"/>
                    </w:rPr>
                    <w:t>Mio. kr.</w:t>
                  </w:r>
                  <w:r>
                    <w:rPr>
                      <w:rFonts w:cs="Arial"/>
                      <w:i/>
                      <w:iCs/>
                      <w:color w:val="000000"/>
                      <w:sz w:val="12"/>
                      <w:szCs w:val="12"/>
                      <w:lang w:eastAsia="da-DK"/>
                    </w:rPr>
                    <w:t>)</w:t>
                  </w:r>
                </w:p>
                <w:p w:rsidR="00B0298D" w:rsidRPr="001B56A0" w:rsidRDefault="00B0298D" w:rsidP="00B0298D">
                  <w:pPr>
                    <w:spacing w:after="0" w:line="240" w:lineRule="auto"/>
                    <w:jc w:val="both"/>
                    <w:rPr>
                      <w:rFonts w:cs="Arial"/>
                      <w:i/>
                      <w:iCs/>
                      <w:color w:val="000000"/>
                      <w:sz w:val="12"/>
                      <w:szCs w:val="12"/>
                      <w:lang w:eastAsia="da-DK"/>
                    </w:rPr>
                  </w:pPr>
                  <w:r w:rsidRPr="00B0298D">
                    <w:rPr>
                      <w:rFonts w:eastAsia="Times New Roman" w:cs="Arial"/>
                      <w:bCs/>
                      <w:sz w:val="12"/>
                      <w:szCs w:val="12"/>
                      <w:lang w:eastAsia="da-DK"/>
                    </w:rPr>
                    <w:t>(+=gevinst)</w:t>
                  </w:r>
                </w:p>
              </w:tc>
              <w:tc>
                <w:tcPr>
                  <w:tcW w:w="1134" w:type="dxa"/>
                  <w:tcBorders>
                    <w:top w:val="nil"/>
                    <w:left w:val="nil"/>
                    <w:bottom w:val="nil"/>
                    <w:right w:val="single" w:sz="4" w:space="0" w:color="auto"/>
                  </w:tcBorders>
                  <w:shd w:val="clear" w:color="000000" w:fill="E9EFEC"/>
                  <w:noWrap/>
                  <w:vAlign w:val="bottom"/>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 </w:t>
                  </w:r>
                </w:p>
              </w:tc>
              <w:tc>
                <w:tcPr>
                  <w:tcW w:w="1134" w:type="dxa"/>
                  <w:tcBorders>
                    <w:top w:val="nil"/>
                    <w:left w:val="single" w:sz="4" w:space="0" w:color="auto"/>
                    <w:bottom w:val="nil"/>
                    <w:right w:val="nil"/>
                  </w:tcBorders>
                  <w:shd w:val="clear" w:color="000000" w:fill="E9EFEC"/>
                  <w:noWrap/>
                  <w:vAlign w:val="bottom"/>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 </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Nordjylland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16,6</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6,9</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Midtjylland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27,5</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31,2</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Syddanmark</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16,4</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17,4</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Hovedstaden</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63,1</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-44,5</w:t>
                  </w:r>
                </w:p>
              </w:tc>
            </w:tr>
            <w:tr w:rsidR="00DF03B4" w:rsidRPr="001B56A0" w:rsidTr="00DF03B4">
              <w:trPr>
                <w:trHeight w:val="210"/>
              </w:trPr>
              <w:tc>
                <w:tcPr>
                  <w:tcW w:w="1560" w:type="dxa"/>
                  <w:tcBorders>
                    <w:top w:val="nil"/>
                    <w:left w:val="nil"/>
                    <w:bottom w:val="nil"/>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Sjælland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2,6</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-11,0</w:t>
                  </w:r>
                </w:p>
              </w:tc>
            </w:tr>
            <w:tr w:rsidR="00DF03B4" w:rsidRPr="001B56A0" w:rsidTr="00DF03B4">
              <w:trPr>
                <w:trHeight w:val="210"/>
              </w:trPr>
              <w:tc>
                <w:tcPr>
                  <w:tcW w:w="1560" w:type="dxa"/>
                  <w:tcBorders>
                    <w:top w:val="single" w:sz="4" w:space="0" w:color="E9EFEC"/>
                    <w:left w:val="nil"/>
                    <w:bottom w:val="dashed" w:sz="4" w:space="0" w:color="auto"/>
                    <w:right w:val="nil"/>
                  </w:tcBorders>
                  <w:shd w:val="clear" w:color="000000" w:fill="E9EFEC"/>
                  <w:vAlign w:val="center"/>
                  <w:hideMark/>
                </w:tcPr>
                <w:p w:rsidR="00DF03B4" w:rsidRPr="001B56A0" w:rsidRDefault="00DF03B4" w:rsidP="00DF03B4">
                  <w:pPr>
                    <w:spacing w:after="0" w:line="240" w:lineRule="auto"/>
                    <w:jc w:val="both"/>
                    <w:rPr>
                      <w:rFonts w:cs="Arial"/>
                      <w:b/>
                      <w:bCs/>
                      <w:color w:val="000000"/>
                      <w:sz w:val="12"/>
                      <w:szCs w:val="12"/>
                      <w:lang w:eastAsia="da-DK"/>
                    </w:rPr>
                  </w:pPr>
                  <w:r w:rsidRPr="001B56A0">
                    <w:rPr>
                      <w:rFonts w:cs="Arial"/>
                      <w:b/>
                      <w:bCs/>
                      <w:color w:val="000000"/>
                      <w:sz w:val="12"/>
                      <w:szCs w:val="12"/>
                      <w:lang w:eastAsia="da-DK"/>
                    </w:rPr>
                    <w:t>Hele landet</w:t>
                  </w:r>
                </w:p>
              </w:tc>
              <w:tc>
                <w:tcPr>
                  <w:tcW w:w="1134" w:type="dxa"/>
                  <w:tcBorders>
                    <w:top w:val="nil"/>
                    <w:left w:val="nil"/>
                    <w:bottom w:val="dashed" w:sz="4" w:space="0" w:color="auto"/>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b/>
                      <w:bCs/>
                      <w:color w:val="000000"/>
                      <w:sz w:val="12"/>
                      <w:szCs w:val="12"/>
                      <w:lang w:eastAsia="da-DK"/>
                    </w:rPr>
                  </w:pPr>
                  <w:r w:rsidRPr="001B56A0">
                    <w:rPr>
                      <w:rFonts w:cs="Arial"/>
                      <w:b/>
                      <w:bCs/>
                      <w:color w:val="000000"/>
                      <w:sz w:val="12"/>
                      <w:szCs w:val="12"/>
                      <w:lang w:eastAsia="da-DK"/>
                    </w:rPr>
                    <w:t>0,0</w:t>
                  </w:r>
                </w:p>
              </w:tc>
              <w:tc>
                <w:tcPr>
                  <w:tcW w:w="1134" w:type="dxa"/>
                  <w:tcBorders>
                    <w:top w:val="nil"/>
                    <w:left w:val="single" w:sz="4" w:space="0" w:color="auto"/>
                    <w:bottom w:val="dashed" w:sz="4" w:space="0" w:color="auto"/>
                    <w:right w:val="nil"/>
                  </w:tcBorders>
                  <w:shd w:val="clear" w:color="000000" w:fill="E9EFEC"/>
                  <w:noWrap/>
                  <w:vAlign w:val="center"/>
                  <w:hideMark/>
                </w:tcPr>
                <w:p w:rsidR="00DF03B4" w:rsidRPr="001B56A0" w:rsidRDefault="00DF03B4" w:rsidP="00DF03B4">
                  <w:pPr>
                    <w:spacing w:after="0" w:line="240" w:lineRule="auto"/>
                    <w:jc w:val="center"/>
                    <w:rPr>
                      <w:rFonts w:cs="Arial"/>
                      <w:b/>
                      <w:bCs/>
                      <w:color w:val="000000"/>
                      <w:sz w:val="12"/>
                      <w:szCs w:val="12"/>
                      <w:lang w:eastAsia="da-DK"/>
                    </w:rPr>
                  </w:pPr>
                  <w:r w:rsidRPr="001B56A0">
                    <w:rPr>
                      <w:rFonts w:cs="Arial"/>
                      <w:b/>
                      <w:bCs/>
                      <w:color w:val="000000"/>
                      <w:sz w:val="12"/>
                      <w:szCs w:val="12"/>
                      <w:lang w:eastAsia="da-DK"/>
                    </w:rPr>
                    <w:t>0,0</w:t>
                  </w:r>
                </w:p>
              </w:tc>
            </w:tr>
            <w:tr w:rsidR="00DF03B4" w:rsidRPr="001B56A0" w:rsidTr="00DF03B4">
              <w:trPr>
                <w:trHeight w:val="210"/>
              </w:trPr>
              <w:tc>
                <w:tcPr>
                  <w:tcW w:w="2694" w:type="dxa"/>
                  <w:gridSpan w:val="2"/>
                  <w:tcBorders>
                    <w:top w:val="nil"/>
                    <w:left w:val="nil"/>
                    <w:bottom w:val="nil"/>
                    <w:right w:val="single" w:sz="4" w:space="0" w:color="auto"/>
                  </w:tcBorders>
                  <w:shd w:val="clear" w:color="000000" w:fill="E9EFEC"/>
                  <w:noWrap/>
                  <w:vAlign w:val="center"/>
                  <w:hideMark/>
                </w:tcPr>
                <w:p w:rsidR="00DF03B4" w:rsidRDefault="00DF03B4" w:rsidP="00DF03B4">
                  <w:pPr>
                    <w:spacing w:after="0" w:line="240" w:lineRule="auto"/>
                    <w:rPr>
                      <w:rFonts w:cs="Arial"/>
                      <w:i/>
                      <w:iCs/>
                      <w:color w:val="000000"/>
                      <w:sz w:val="12"/>
                      <w:szCs w:val="12"/>
                      <w:lang w:eastAsia="da-DK"/>
                    </w:rPr>
                  </w:pPr>
                  <w:r>
                    <w:rPr>
                      <w:rFonts w:cs="Arial"/>
                      <w:i/>
                      <w:iCs/>
                      <w:color w:val="000000"/>
                      <w:sz w:val="12"/>
                      <w:szCs w:val="12"/>
                      <w:lang w:eastAsia="da-DK"/>
                    </w:rPr>
                    <w:t>Beregnet ændring</w:t>
                  </w:r>
                </w:p>
                <w:p w:rsidR="00DF03B4" w:rsidRDefault="00DF03B4" w:rsidP="00DF03B4">
                  <w:pPr>
                    <w:spacing w:after="0" w:line="240" w:lineRule="auto"/>
                    <w:rPr>
                      <w:rFonts w:cs="Arial"/>
                      <w:i/>
                      <w:iCs/>
                      <w:color w:val="000000"/>
                      <w:sz w:val="12"/>
                      <w:szCs w:val="12"/>
                      <w:lang w:eastAsia="da-DK"/>
                    </w:rPr>
                  </w:pPr>
                  <w:r>
                    <w:rPr>
                      <w:rFonts w:cs="Arial"/>
                      <w:i/>
                      <w:iCs/>
                      <w:color w:val="000000"/>
                      <w:sz w:val="12"/>
                      <w:szCs w:val="12"/>
                      <w:lang w:eastAsia="da-DK"/>
                    </w:rPr>
                    <w:t>i p</w:t>
                  </w:r>
                  <w:r w:rsidRPr="001B56A0">
                    <w:rPr>
                      <w:rFonts w:cs="Arial"/>
                      <w:i/>
                      <w:iCs/>
                      <w:color w:val="000000"/>
                      <w:sz w:val="12"/>
                      <w:szCs w:val="12"/>
                      <w:lang w:eastAsia="da-DK"/>
                    </w:rPr>
                    <w:t>ct. af beskatnings</w:t>
                  </w:r>
                  <w:r>
                    <w:rPr>
                      <w:rFonts w:cs="Arial"/>
                      <w:i/>
                      <w:iCs/>
                      <w:color w:val="000000"/>
                      <w:sz w:val="12"/>
                      <w:szCs w:val="12"/>
                      <w:lang w:eastAsia="da-DK"/>
                    </w:rPr>
                    <w:t xml:space="preserve">grundlag </w:t>
                  </w:r>
                </w:p>
                <w:p w:rsidR="00B0298D" w:rsidRPr="006E6AB5" w:rsidRDefault="00B0298D" w:rsidP="00DF03B4">
                  <w:pPr>
                    <w:spacing w:after="0" w:line="240" w:lineRule="auto"/>
                    <w:rPr>
                      <w:rFonts w:cs="Arial"/>
                      <w:i/>
                      <w:iCs/>
                      <w:color w:val="000000"/>
                      <w:sz w:val="12"/>
                      <w:szCs w:val="12"/>
                      <w:lang w:eastAsia="da-DK"/>
                    </w:rPr>
                  </w:pPr>
                  <w:r w:rsidRPr="00B0298D">
                    <w:rPr>
                      <w:rFonts w:eastAsia="Times New Roman" w:cs="Arial"/>
                      <w:bCs/>
                      <w:sz w:val="12"/>
                      <w:szCs w:val="12"/>
                      <w:lang w:eastAsia="da-DK"/>
                    </w:rPr>
                    <w:t>(-=gevinst)</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Nordjylland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0,02</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-0,01</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Midtjylland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0,01</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0,0</w:t>
                  </w:r>
                  <w:r>
                    <w:rPr>
                      <w:rFonts w:cs="Arial"/>
                      <w:color w:val="000000"/>
                      <w:sz w:val="12"/>
                      <w:szCs w:val="12"/>
                      <w:lang w:eastAsia="da-DK"/>
                    </w:rPr>
                    <w:t>1</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Syddanmark</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0,01</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-0,01</w:t>
                  </w:r>
                </w:p>
              </w:tc>
            </w:tr>
            <w:tr w:rsidR="00DF03B4" w:rsidRPr="001B56A0" w:rsidTr="00DF03B4">
              <w:trPr>
                <w:trHeight w:val="210"/>
              </w:trPr>
              <w:tc>
                <w:tcPr>
                  <w:tcW w:w="1560" w:type="dxa"/>
                  <w:tcBorders>
                    <w:top w:val="nil"/>
                    <w:left w:val="nil"/>
                    <w:bottom w:val="single" w:sz="4" w:space="0" w:color="E9EFEC"/>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Hovedstaden</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0,02</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0,0</w:t>
                  </w:r>
                  <w:r>
                    <w:rPr>
                      <w:rFonts w:cs="Arial"/>
                      <w:color w:val="000000"/>
                      <w:sz w:val="12"/>
                      <w:szCs w:val="12"/>
                      <w:lang w:eastAsia="da-DK"/>
                    </w:rPr>
                    <w:t>1</w:t>
                  </w:r>
                </w:p>
              </w:tc>
            </w:tr>
            <w:tr w:rsidR="00DF03B4" w:rsidRPr="001B56A0" w:rsidTr="00DF03B4">
              <w:trPr>
                <w:trHeight w:val="210"/>
              </w:trPr>
              <w:tc>
                <w:tcPr>
                  <w:tcW w:w="1560" w:type="dxa"/>
                  <w:tcBorders>
                    <w:top w:val="nil"/>
                    <w:left w:val="nil"/>
                    <w:right w:val="nil"/>
                  </w:tcBorders>
                  <w:shd w:val="clear" w:color="000000" w:fill="E9EFEC"/>
                  <w:vAlign w:val="center"/>
                  <w:hideMark/>
                </w:tcPr>
                <w:p w:rsidR="00DF03B4" w:rsidRPr="001B56A0" w:rsidRDefault="00DF03B4" w:rsidP="00DF03B4">
                  <w:pPr>
                    <w:spacing w:after="0" w:line="240" w:lineRule="auto"/>
                    <w:jc w:val="both"/>
                    <w:rPr>
                      <w:rFonts w:cs="Arial"/>
                      <w:color w:val="000000"/>
                      <w:sz w:val="12"/>
                      <w:szCs w:val="12"/>
                      <w:lang w:eastAsia="da-DK"/>
                    </w:rPr>
                  </w:pPr>
                  <w:r w:rsidRPr="001B56A0">
                    <w:rPr>
                      <w:rFonts w:cs="Arial"/>
                      <w:color w:val="000000"/>
                      <w:sz w:val="12"/>
                      <w:szCs w:val="12"/>
                      <w:lang w:eastAsia="da-DK"/>
                    </w:rPr>
                    <w:t>Region Sjælland</w:t>
                  </w:r>
                </w:p>
              </w:tc>
              <w:tc>
                <w:tcPr>
                  <w:tcW w:w="1134" w:type="dxa"/>
                  <w:tcBorders>
                    <w:top w:val="nil"/>
                    <w:left w:val="nil"/>
                    <w:bottom w:val="single" w:sz="4" w:space="0" w:color="E9EFEC"/>
                    <w:right w:val="single" w:sz="4" w:space="0" w:color="auto"/>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sidRPr="001B56A0">
                    <w:rPr>
                      <w:rFonts w:cs="Arial"/>
                      <w:color w:val="000000"/>
                      <w:sz w:val="12"/>
                      <w:szCs w:val="12"/>
                      <w:lang w:eastAsia="da-DK"/>
                    </w:rPr>
                    <w:t>0,00</w:t>
                  </w:r>
                </w:p>
              </w:tc>
              <w:tc>
                <w:tcPr>
                  <w:tcW w:w="1134" w:type="dxa"/>
                  <w:tcBorders>
                    <w:top w:val="nil"/>
                    <w:left w:val="single" w:sz="4" w:space="0" w:color="auto"/>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color w:val="000000"/>
                      <w:sz w:val="12"/>
                      <w:szCs w:val="12"/>
                      <w:lang w:eastAsia="da-DK"/>
                    </w:rPr>
                  </w:pPr>
                  <w:r>
                    <w:rPr>
                      <w:rFonts w:cs="Arial"/>
                      <w:color w:val="000000"/>
                      <w:sz w:val="12"/>
                      <w:szCs w:val="12"/>
                      <w:lang w:eastAsia="da-DK"/>
                    </w:rPr>
                    <w:t>0,01</w:t>
                  </w:r>
                </w:p>
              </w:tc>
            </w:tr>
            <w:tr w:rsidR="00DF03B4" w:rsidRPr="001B56A0" w:rsidTr="00DF03B4">
              <w:trPr>
                <w:trHeight w:val="210"/>
              </w:trPr>
              <w:tc>
                <w:tcPr>
                  <w:tcW w:w="1560" w:type="dxa"/>
                  <w:tcBorders>
                    <w:top w:val="nil"/>
                    <w:left w:val="nil"/>
                    <w:right w:val="nil"/>
                  </w:tcBorders>
                  <w:shd w:val="clear" w:color="000000" w:fill="E9EFEC"/>
                  <w:vAlign w:val="center"/>
                  <w:hideMark/>
                </w:tcPr>
                <w:p w:rsidR="00DF03B4" w:rsidRPr="001B56A0" w:rsidRDefault="00DF03B4" w:rsidP="00DF03B4">
                  <w:pPr>
                    <w:spacing w:after="0" w:line="240" w:lineRule="auto"/>
                    <w:jc w:val="both"/>
                    <w:rPr>
                      <w:rFonts w:cs="Arial"/>
                      <w:b/>
                      <w:bCs/>
                      <w:color w:val="000000"/>
                      <w:sz w:val="12"/>
                      <w:szCs w:val="12"/>
                      <w:lang w:eastAsia="da-DK"/>
                    </w:rPr>
                  </w:pPr>
                  <w:r w:rsidRPr="001B56A0">
                    <w:rPr>
                      <w:rFonts w:cs="Arial"/>
                      <w:b/>
                      <w:bCs/>
                      <w:color w:val="000000"/>
                      <w:sz w:val="12"/>
                      <w:szCs w:val="12"/>
                      <w:lang w:eastAsia="da-DK"/>
                    </w:rPr>
                    <w:t>Hele landet</w:t>
                  </w:r>
                </w:p>
              </w:tc>
              <w:tc>
                <w:tcPr>
                  <w:tcW w:w="1134" w:type="dxa"/>
                  <w:tcBorders>
                    <w:top w:val="single" w:sz="4" w:space="0" w:color="E9EFEC"/>
                    <w:left w:val="nil"/>
                    <w:right w:val="dashed" w:sz="4" w:space="0" w:color="auto"/>
                  </w:tcBorders>
                  <w:shd w:val="clear" w:color="000000" w:fill="E9EFEC"/>
                  <w:noWrap/>
                  <w:vAlign w:val="center"/>
                  <w:hideMark/>
                </w:tcPr>
                <w:p w:rsidR="00DF03B4" w:rsidRPr="001B56A0" w:rsidRDefault="00DF03B4" w:rsidP="00DF03B4">
                  <w:pPr>
                    <w:spacing w:after="0" w:line="240" w:lineRule="auto"/>
                    <w:jc w:val="center"/>
                    <w:rPr>
                      <w:rFonts w:cs="Arial"/>
                      <w:b/>
                      <w:bCs/>
                      <w:color w:val="000000"/>
                      <w:sz w:val="12"/>
                      <w:szCs w:val="12"/>
                      <w:lang w:eastAsia="da-DK"/>
                    </w:rPr>
                  </w:pPr>
                  <w:r w:rsidRPr="001B56A0">
                    <w:rPr>
                      <w:rFonts w:cs="Arial"/>
                      <w:b/>
                      <w:bCs/>
                      <w:color w:val="000000"/>
                      <w:sz w:val="12"/>
                      <w:szCs w:val="12"/>
                      <w:lang w:eastAsia="da-DK"/>
                    </w:rPr>
                    <w:t>0,0</w:t>
                  </w:r>
                </w:p>
              </w:tc>
              <w:tc>
                <w:tcPr>
                  <w:tcW w:w="1134" w:type="dxa"/>
                  <w:tcBorders>
                    <w:top w:val="nil"/>
                    <w:left w:val="nil"/>
                    <w:bottom w:val="single" w:sz="4" w:space="0" w:color="E9EFEC"/>
                    <w:right w:val="nil"/>
                  </w:tcBorders>
                  <w:shd w:val="clear" w:color="000000" w:fill="E9EFEC"/>
                  <w:noWrap/>
                  <w:vAlign w:val="center"/>
                  <w:hideMark/>
                </w:tcPr>
                <w:p w:rsidR="00DF03B4" w:rsidRPr="001B56A0" w:rsidRDefault="00DF03B4" w:rsidP="00DF03B4">
                  <w:pPr>
                    <w:spacing w:after="0" w:line="240" w:lineRule="auto"/>
                    <w:jc w:val="center"/>
                    <w:rPr>
                      <w:rFonts w:cs="Arial"/>
                      <w:b/>
                      <w:bCs/>
                      <w:color w:val="000000"/>
                      <w:sz w:val="12"/>
                      <w:szCs w:val="12"/>
                      <w:lang w:eastAsia="da-DK"/>
                    </w:rPr>
                  </w:pPr>
                  <w:r w:rsidRPr="001B56A0">
                    <w:rPr>
                      <w:rFonts w:cs="Arial"/>
                      <w:b/>
                      <w:bCs/>
                      <w:color w:val="000000"/>
                      <w:sz w:val="12"/>
                      <w:szCs w:val="12"/>
                      <w:lang w:eastAsia="da-DK"/>
                    </w:rPr>
                    <w:t>0,0</w:t>
                  </w:r>
                </w:p>
              </w:tc>
            </w:tr>
          </w:tbl>
          <w:p w:rsidR="00DF03B4" w:rsidRPr="000C2714" w:rsidRDefault="00DF03B4" w:rsidP="00DF03B4">
            <w:pPr>
              <w:jc w:val="both"/>
              <w:rPr>
                <w:rFonts w:ascii="Calibri" w:hAnsi="Calibri"/>
                <w:sz w:val="14"/>
              </w:rPr>
            </w:pPr>
          </w:p>
        </w:tc>
      </w:tr>
      <w:tr w:rsidR="00DF03B4" w:rsidTr="00DF03B4">
        <w:tc>
          <w:tcPr>
            <w:tcW w:w="3828" w:type="dxa"/>
            <w:shd w:val="clear" w:color="auto" w:fill="E9EFEC"/>
          </w:tcPr>
          <w:p w:rsidR="00DF03B4" w:rsidRPr="00D23E28" w:rsidRDefault="00DF03B4" w:rsidP="00DF03B4">
            <w:pPr>
              <w:spacing w:line="240" w:lineRule="auto"/>
              <w:jc w:val="both"/>
              <w:rPr>
                <w:rFonts w:asciiTheme="minorHAnsi" w:hAnsiTheme="minorHAnsi"/>
                <w:sz w:val="12"/>
                <w:szCs w:val="12"/>
              </w:rPr>
            </w:pPr>
            <w:r w:rsidRPr="00D23E28">
              <w:rPr>
                <w:rFonts w:asciiTheme="minorHAnsi" w:hAnsiTheme="minorHAnsi"/>
                <w:sz w:val="12"/>
                <w:szCs w:val="12"/>
              </w:rPr>
              <w:t>Anm.: Til opgørelse af de byrdefordelingsmæssige virkninger er foretaget tekniske konsekvensberegninger. Beregningerne er foretaget ud for antagelser om ”alt andet lige” forhold, hvor alene de foreslåede ændringer af ordningen gennemføres med udgangspunkt i den faktiske aktivitet i 2014</w:t>
            </w:r>
            <w:r>
              <w:rPr>
                <w:rFonts w:asciiTheme="minorHAnsi" w:hAnsiTheme="minorHAnsi"/>
                <w:sz w:val="12"/>
                <w:szCs w:val="12"/>
              </w:rPr>
              <w:t xml:space="preserve"> og 2015</w:t>
            </w:r>
            <w:r w:rsidRPr="00D23E28">
              <w:rPr>
                <w:rFonts w:asciiTheme="minorHAnsi" w:hAnsiTheme="minorHAnsi"/>
                <w:sz w:val="12"/>
                <w:szCs w:val="12"/>
              </w:rPr>
              <w:t>. Der er i beregningerne foretaget en korrektion for gennemslag i det aldersbetingede udgiftsbehov. Der er ikke foretaget vurderinger og/eller antagelser om de adfærdsmæssige muligheder for påvirkning af de byrdefordelingsmæssige konsekvenser.</w:t>
            </w:r>
          </w:p>
          <w:p w:rsidR="00DF03B4" w:rsidRPr="000C2714" w:rsidRDefault="00DF03B4" w:rsidP="00DF03B4">
            <w:pPr>
              <w:spacing w:line="240" w:lineRule="auto"/>
              <w:jc w:val="both"/>
              <w:rPr>
                <w:rFonts w:ascii="Calibri" w:hAnsi="Calibri"/>
                <w:sz w:val="12"/>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c>
          <w:tcPr>
            <w:tcW w:w="3934" w:type="dxa"/>
            <w:shd w:val="clear" w:color="auto" w:fill="E9EFEC"/>
          </w:tcPr>
          <w:p w:rsidR="00DF03B4" w:rsidRPr="00D23E28" w:rsidRDefault="00DF03B4" w:rsidP="00DF03B4">
            <w:pPr>
              <w:spacing w:line="240" w:lineRule="auto"/>
              <w:jc w:val="both"/>
              <w:rPr>
                <w:rFonts w:asciiTheme="minorHAnsi" w:hAnsiTheme="minorHAnsi"/>
                <w:sz w:val="12"/>
                <w:szCs w:val="12"/>
              </w:rPr>
            </w:pPr>
            <w:r w:rsidRPr="00D23E28">
              <w:rPr>
                <w:rFonts w:asciiTheme="minorHAnsi" w:hAnsiTheme="minorHAnsi"/>
                <w:sz w:val="12"/>
                <w:szCs w:val="12"/>
              </w:rPr>
              <w:t>Anm.: Til opgørelse af de byrdefordelingsmæssige virkninger er foretaget tekniske konsekvensberegninger. Beregningerne er foretaget ud for antagelser om ”alt andet lige” forhold, hvor alene de foreslåede ændringer af ordningen gennemføres med udgangspunkt i den faktiske aktivitet i 2014</w:t>
            </w:r>
            <w:r>
              <w:rPr>
                <w:rFonts w:asciiTheme="minorHAnsi" w:hAnsiTheme="minorHAnsi"/>
                <w:sz w:val="12"/>
                <w:szCs w:val="12"/>
              </w:rPr>
              <w:t xml:space="preserve"> og 2015</w:t>
            </w:r>
            <w:r w:rsidRPr="00D23E28">
              <w:rPr>
                <w:rFonts w:asciiTheme="minorHAnsi" w:hAnsiTheme="minorHAnsi"/>
                <w:sz w:val="12"/>
                <w:szCs w:val="12"/>
              </w:rPr>
              <w:t>. Der er i beregningerne foretaget en korrektion for gennemslag i det aldersbetingede udgiftsbehov. Der er ikke foretaget vurderinger og/eller antagelser om de adfærdsmæssige muligheder for påvirkning af de byrdefordelingsmæssige konsekvenser.</w:t>
            </w:r>
          </w:p>
          <w:p w:rsidR="00DF03B4" w:rsidRPr="000C2714" w:rsidRDefault="00DF03B4" w:rsidP="00DF03B4">
            <w:pPr>
              <w:spacing w:line="240" w:lineRule="auto"/>
              <w:jc w:val="both"/>
              <w:rPr>
                <w:rFonts w:ascii="Calibri" w:hAnsi="Calibri"/>
                <w:sz w:val="12"/>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r>
    </w:tbl>
    <w:p w:rsidR="00DF03B4" w:rsidRDefault="00DF03B4" w:rsidP="00DF03B4">
      <w:pPr>
        <w:jc w:val="both"/>
        <w:rPr>
          <w:i/>
        </w:rPr>
      </w:pPr>
    </w:p>
    <w:p w:rsidR="00DF03B4" w:rsidRDefault="00DF03B4" w:rsidP="00DF03B4">
      <w:pPr>
        <w:jc w:val="both"/>
        <w:rPr>
          <w:rFonts w:ascii="Garamond" w:hAnsi="Garamond"/>
          <w:sz w:val="24"/>
          <w:szCs w:val="24"/>
        </w:rPr>
      </w:pPr>
      <w:r>
        <w:rPr>
          <w:rFonts w:ascii="Garamond" w:hAnsi="Garamond"/>
          <w:sz w:val="24"/>
          <w:szCs w:val="24"/>
        </w:rPr>
        <w:t xml:space="preserve">Det bemærkes, at det aldersbetingede udgiftsbehov opdateres årligt. Sammensætningen af demografien i den enkelte kommune vil således løbende blive opfanget i opgørelsen. Det betyder, at f.eks. en tendens til en stigende andel ældre i nogle kommuner også vil føre til et højere aldersbetinget udgiftsbehov. </w:t>
      </w:r>
    </w:p>
    <w:p w:rsidR="00DF03B4" w:rsidRDefault="00DF03B4" w:rsidP="00DF03B4">
      <w:pPr>
        <w:jc w:val="both"/>
        <w:rPr>
          <w:rFonts w:ascii="Garamond" w:hAnsi="Garamond"/>
          <w:sz w:val="24"/>
          <w:szCs w:val="24"/>
        </w:rPr>
      </w:pPr>
      <w:r>
        <w:rPr>
          <w:rFonts w:ascii="Garamond" w:hAnsi="Garamond"/>
          <w:sz w:val="24"/>
          <w:szCs w:val="24"/>
        </w:rPr>
        <w:t xml:space="preserve">Der er generelt en tendens til en stigende ældreandel i befolkningen, men for de kommuner, hvor ældreandelen stiger kraftigere end i andre kommuner, vil det vise sig i et stigende aldersbetinget udgiftsbehov og dermed også et stigende udligningstilskud. Disse kommuner bliver således via udligningssystemet i vidt omfang kompenseret for, at alderssammensætningen i kommunen udvikler sig anderledes end landsgennemsnittet. Når der ses på udviklingen over de seneste ti år, er der dog ikke markante eksempler på kommuner, hvor udviklingen i det aldersbetingede udgiftsbehov har afveget væsentligt fra landsgennemsnittet. </w:t>
      </w:r>
    </w:p>
    <w:p w:rsidR="00195791" w:rsidRDefault="00195791" w:rsidP="00013753">
      <w:pPr>
        <w:jc w:val="both"/>
        <w:rPr>
          <w:rFonts w:asciiTheme="majorHAnsi" w:eastAsiaTheme="majorEastAsia" w:hAnsiTheme="majorHAnsi" w:cstheme="majorBidi"/>
          <w:bCs/>
          <w:color w:val="17365D" w:themeColor="text2" w:themeShade="BF"/>
          <w:sz w:val="36"/>
          <w:szCs w:val="36"/>
        </w:rPr>
      </w:pPr>
      <w:r>
        <w:rPr>
          <w:b/>
          <w:color w:val="17365D" w:themeColor="text2" w:themeShade="BF"/>
          <w:sz w:val="36"/>
          <w:szCs w:val="36"/>
        </w:rPr>
        <w:br w:type="page"/>
      </w:r>
    </w:p>
    <w:p w:rsidR="00CE06B8" w:rsidRDefault="003B5520" w:rsidP="003B5520">
      <w:pPr>
        <w:pStyle w:val="Overskrift1"/>
        <w:pBdr>
          <w:bottom w:val="single" w:sz="4" w:space="1" w:color="4F81BD" w:themeColor="accent1"/>
        </w:pBdr>
        <w:jc w:val="both"/>
        <w:rPr>
          <w:b w:val="0"/>
          <w:color w:val="17365D" w:themeColor="text2" w:themeShade="BF"/>
          <w:sz w:val="36"/>
          <w:szCs w:val="36"/>
        </w:rPr>
      </w:pPr>
      <w:bookmarkStart w:id="11" w:name="_Toc451358726"/>
      <w:r>
        <w:rPr>
          <w:b w:val="0"/>
          <w:color w:val="17365D" w:themeColor="text2" w:themeShade="BF"/>
          <w:sz w:val="36"/>
          <w:szCs w:val="36"/>
        </w:rPr>
        <w:t>4</w:t>
      </w:r>
      <w:r w:rsidRPr="00B955F1">
        <w:rPr>
          <w:b w:val="0"/>
          <w:color w:val="17365D" w:themeColor="text2" w:themeShade="BF"/>
          <w:sz w:val="36"/>
          <w:szCs w:val="36"/>
        </w:rPr>
        <w:t xml:space="preserve">. </w:t>
      </w:r>
      <w:r w:rsidR="00CE06B8">
        <w:rPr>
          <w:b w:val="0"/>
          <w:color w:val="17365D" w:themeColor="text2" w:themeShade="BF"/>
          <w:sz w:val="36"/>
          <w:szCs w:val="36"/>
        </w:rPr>
        <w:t>Fjernelse af uhensigts</w:t>
      </w:r>
      <w:r w:rsidR="00D63A69">
        <w:rPr>
          <w:b w:val="0"/>
          <w:color w:val="17365D" w:themeColor="text2" w:themeShade="BF"/>
          <w:sz w:val="36"/>
          <w:szCs w:val="36"/>
        </w:rPr>
        <w:t>mæssig</w:t>
      </w:r>
      <w:r w:rsidR="00CE06B8">
        <w:rPr>
          <w:b w:val="0"/>
          <w:color w:val="17365D" w:themeColor="text2" w:themeShade="BF"/>
          <w:sz w:val="36"/>
          <w:szCs w:val="36"/>
        </w:rPr>
        <w:t xml:space="preserve"> regional</w:t>
      </w:r>
      <w:r w:rsidR="00D63A69">
        <w:rPr>
          <w:b w:val="0"/>
          <w:color w:val="17365D" w:themeColor="text2" w:themeShade="BF"/>
          <w:sz w:val="36"/>
          <w:szCs w:val="36"/>
        </w:rPr>
        <w:t xml:space="preserve"> adfærd</w:t>
      </w:r>
      <w:bookmarkEnd w:id="11"/>
    </w:p>
    <w:p w:rsidR="00CE06B8" w:rsidRDefault="00CE06B8" w:rsidP="00D63A69">
      <w:pPr>
        <w:spacing w:after="0"/>
        <w:rPr>
          <w:b/>
          <w:color w:val="17365D" w:themeColor="text2" w:themeShade="BF"/>
          <w:sz w:val="36"/>
          <w:szCs w:val="36"/>
        </w:rPr>
      </w:pPr>
    </w:p>
    <w:p w:rsidR="00CE06B8" w:rsidRPr="000F7905" w:rsidRDefault="00CE06B8" w:rsidP="00CE06B8">
      <w:pPr>
        <w:jc w:val="both"/>
        <w:rPr>
          <w:rFonts w:ascii="Garamond" w:hAnsi="Garamond"/>
          <w:sz w:val="24"/>
          <w:szCs w:val="24"/>
        </w:rPr>
      </w:pPr>
      <w:r w:rsidRPr="000F7905">
        <w:rPr>
          <w:rFonts w:ascii="Garamond" w:hAnsi="Garamond"/>
          <w:sz w:val="24"/>
          <w:szCs w:val="24"/>
        </w:rPr>
        <w:t>I evaluering af den kommunale medfinansiering (2015) blev det konstaterede, at den eksisterende ordning kan give regionerne et selvstændigt</w:t>
      </w:r>
      <w:r w:rsidR="008E796A">
        <w:rPr>
          <w:rFonts w:ascii="Garamond" w:hAnsi="Garamond"/>
          <w:sz w:val="24"/>
          <w:szCs w:val="24"/>
        </w:rPr>
        <w:t xml:space="preserve"> økonomisk</w:t>
      </w:r>
      <w:r w:rsidRPr="000F7905">
        <w:rPr>
          <w:rFonts w:ascii="Garamond" w:hAnsi="Garamond"/>
          <w:sz w:val="24"/>
          <w:szCs w:val="24"/>
        </w:rPr>
        <w:t xml:space="preserve"> incitament til at fastholde uhensigtsmæssig aktivitet på sygehusene. </w:t>
      </w:r>
    </w:p>
    <w:p w:rsidR="00CE06B8" w:rsidRPr="000F7905" w:rsidRDefault="00CE06B8" w:rsidP="00CE06B8">
      <w:pPr>
        <w:jc w:val="both"/>
        <w:rPr>
          <w:rFonts w:ascii="Garamond" w:hAnsi="Garamond"/>
          <w:sz w:val="24"/>
          <w:szCs w:val="24"/>
          <w:lang w:eastAsia="da-DK"/>
        </w:rPr>
      </w:pPr>
      <w:r>
        <w:rPr>
          <w:rFonts w:ascii="Garamond" w:hAnsi="Garamond"/>
          <w:sz w:val="24"/>
          <w:szCs w:val="24"/>
          <w:lang w:eastAsia="da-DK"/>
        </w:rPr>
        <w:t>Med det s</w:t>
      </w:r>
      <w:r w:rsidRPr="000F7905">
        <w:rPr>
          <w:rFonts w:ascii="Garamond" w:hAnsi="Garamond"/>
          <w:sz w:val="24"/>
          <w:szCs w:val="24"/>
          <w:lang w:eastAsia="da-DK"/>
        </w:rPr>
        <w:t>igte, at regionernes adfærd i højere grad skal understøtte en indsats, hvor der prioriteres forebyggelse fremfor behandling, og dertil at motivationen for det gode samarbejde mellem regioner/kommuner styrkes</w:t>
      </w:r>
      <w:r>
        <w:rPr>
          <w:rFonts w:ascii="Garamond" w:hAnsi="Garamond"/>
          <w:sz w:val="24"/>
          <w:szCs w:val="24"/>
          <w:lang w:eastAsia="da-DK"/>
        </w:rPr>
        <w:t xml:space="preserve">, skitseres nedenfor </w:t>
      </w:r>
      <w:r w:rsidR="00D63A69">
        <w:rPr>
          <w:rFonts w:ascii="Garamond" w:hAnsi="Garamond"/>
          <w:sz w:val="24"/>
          <w:szCs w:val="24"/>
          <w:lang w:eastAsia="da-DK"/>
        </w:rPr>
        <w:t xml:space="preserve">to </w:t>
      </w:r>
      <w:r w:rsidR="001E2E6A">
        <w:rPr>
          <w:rFonts w:ascii="Garamond" w:hAnsi="Garamond"/>
          <w:sz w:val="24"/>
          <w:szCs w:val="24"/>
          <w:lang w:eastAsia="da-DK"/>
        </w:rPr>
        <w:t>justeringer af KMF</w:t>
      </w:r>
      <w:r>
        <w:rPr>
          <w:rFonts w:ascii="Garamond" w:hAnsi="Garamond"/>
          <w:sz w:val="24"/>
          <w:szCs w:val="24"/>
          <w:lang w:eastAsia="da-DK"/>
        </w:rPr>
        <w:t xml:space="preserve"> for at løse problemerne</w:t>
      </w:r>
      <w:r w:rsidRPr="000F7905">
        <w:rPr>
          <w:rFonts w:ascii="Garamond" w:hAnsi="Garamond"/>
          <w:sz w:val="24"/>
          <w:szCs w:val="24"/>
          <w:lang w:eastAsia="da-DK"/>
        </w:rPr>
        <w:t xml:space="preserve">. </w:t>
      </w:r>
    </w:p>
    <w:p w:rsidR="00CE06B8" w:rsidRPr="00CE06B8" w:rsidRDefault="00CE06B8" w:rsidP="00CE06B8">
      <w:pPr>
        <w:pStyle w:val="Normal1"/>
        <w:spacing w:before="0" w:beforeAutospacing="0" w:after="0" w:afterAutospacing="0" w:line="276" w:lineRule="auto"/>
        <w:jc w:val="both"/>
        <w:rPr>
          <w:rFonts w:ascii="Garamond" w:hAnsi="Garamond"/>
          <w:i/>
          <w:color w:val="000000"/>
        </w:rPr>
      </w:pPr>
      <w:r w:rsidRPr="00CE06B8">
        <w:rPr>
          <w:rFonts w:ascii="Garamond" w:hAnsi="Garamond"/>
          <w:i/>
          <w:color w:val="000000"/>
        </w:rPr>
        <w:t xml:space="preserve">Ændring af KMF, så de uhensigtsmæssige regionale incitamenter fjernes. </w:t>
      </w:r>
    </w:p>
    <w:p w:rsidR="00CE06B8" w:rsidRPr="00A62958" w:rsidRDefault="00CE06B8" w:rsidP="00CE06B8">
      <w:pPr>
        <w:pStyle w:val="Normal1"/>
        <w:spacing w:before="0" w:beforeAutospacing="0" w:after="0" w:afterAutospacing="0" w:line="276" w:lineRule="auto"/>
        <w:jc w:val="both"/>
        <w:rPr>
          <w:rFonts w:ascii="Garamond" w:hAnsi="Garamond"/>
          <w:color w:val="000000"/>
        </w:rPr>
      </w:pPr>
      <w:r w:rsidRPr="00A62958">
        <w:rPr>
          <w:rFonts w:ascii="Garamond" w:hAnsi="Garamond"/>
          <w:color w:val="000000"/>
        </w:rPr>
        <w:t>Med evalueringen er der blevet belyst to tilfælde, hvor KMF alligevel i praksis har en</w:t>
      </w:r>
      <w:r w:rsidR="008E796A">
        <w:rPr>
          <w:rFonts w:ascii="Garamond" w:hAnsi="Garamond"/>
          <w:color w:val="000000"/>
        </w:rPr>
        <w:t xml:space="preserve"> økonomisk </w:t>
      </w:r>
      <w:r w:rsidRPr="00A62958">
        <w:rPr>
          <w:rFonts w:ascii="Garamond" w:hAnsi="Garamond"/>
          <w:color w:val="000000"/>
        </w:rPr>
        <w:t>incitamentsvirkning, som uhensigtsmæssigt bl.a. understøtter en</w:t>
      </w:r>
      <w:r>
        <w:rPr>
          <w:rFonts w:ascii="Garamond" w:hAnsi="Garamond"/>
          <w:color w:val="000000"/>
        </w:rPr>
        <w:t xml:space="preserve"> unødigt opretholdelse af sygehusaktivitet for at sikre et tilstrækkeligt højt aktivitetsniveau</w:t>
      </w:r>
      <w:r w:rsidRPr="00A62958">
        <w:rPr>
          <w:rFonts w:ascii="Garamond" w:hAnsi="Garamond"/>
          <w:color w:val="000000"/>
        </w:rPr>
        <w:t>.</w:t>
      </w:r>
      <w:r w:rsidRPr="003542DD">
        <w:rPr>
          <w:rFonts w:ascii="Garamond" w:hAnsi="Garamond"/>
          <w:color w:val="000000"/>
        </w:rPr>
        <w:t xml:space="preserve"> </w:t>
      </w:r>
      <w:r w:rsidR="00D63A69">
        <w:rPr>
          <w:rFonts w:ascii="Garamond" w:hAnsi="Garamond"/>
          <w:color w:val="000000"/>
        </w:rPr>
        <w:t xml:space="preserve">Det skyldes forskelle mellem </w:t>
      </w:r>
      <w:r>
        <w:rPr>
          <w:rFonts w:ascii="Garamond" w:hAnsi="Garamond"/>
          <w:color w:val="000000"/>
        </w:rPr>
        <w:t xml:space="preserve">KMF og </w:t>
      </w:r>
      <w:r w:rsidR="00D63A69">
        <w:rPr>
          <w:rFonts w:ascii="Garamond" w:hAnsi="Garamond"/>
          <w:color w:val="000000"/>
        </w:rPr>
        <w:t>den statslige aktivitetspulje og</w:t>
      </w:r>
      <w:r w:rsidR="00D63A69" w:rsidRPr="00D63A69">
        <w:rPr>
          <w:rFonts w:ascii="Garamond" w:hAnsi="Garamond"/>
          <w:color w:val="000000"/>
        </w:rPr>
        <w:t xml:space="preserve"> </w:t>
      </w:r>
      <w:r w:rsidR="00D63A69">
        <w:rPr>
          <w:rFonts w:ascii="Garamond" w:hAnsi="Garamond"/>
          <w:color w:val="000000"/>
        </w:rPr>
        <w:t>grundlaget for fordelingen af KMF</w:t>
      </w:r>
      <w:r>
        <w:rPr>
          <w:rFonts w:ascii="Garamond" w:hAnsi="Garamond"/>
          <w:color w:val="000000"/>
        </w:rPr>
        <w:t>.</w:t>
      </w:r>
    </w:p>
    <w:p w:rsidR="00CE06B8" w:rsidRDefault="00CE06B8" w:rsidP="00CE06B8">
      <w:pPr>
        <w:spacing w:after="0"/>
        <w:jc w:val="both"/>
        <w:rPr>
          <w:rFonts w:ascii="Garamond" w:hAnsi="Garamond"/>
          <w:sz w:val="24"/>
          <w:szCs w:val="24"/>
        </w:rPr>
      </w:pPr>
    </w:p>
    <w:p w:rsidR="00CE06B8" w:rsidRPr="000F7905" w:rsidRDefault="002024CF" w:rsidP="00D63A69">
      <w:pPr>
        <w:spacing w:after="0"/>
        <w:jc w:val="both"/>
        <w:rPr>
          <w:rFonts w:ascii="Garamond" w:hAnsi="Garamond"/>
          <w:sz w:val="24"/>
          <w:szCs w:val="24"/>
        </w:rPr>
      </w:pPr>
      <w:r>
        <w:rPr>
          <w:rFonts w:ascii="Garamond" w:hAnsi="Garamond"/>
          <w:sz w:val="24"/>
          <w:szCs w:val="24"/>
        </w:rPr>
        <w:t>For at imødekomme dette</w:t>
      </w:r>
      <w:r w:rsidR="00D63A69">
        <w:rPr>
          <w:rFonts w:ascii="Garamond" w:hAnsi="Garamond"/>
          <w:sz w:val="24"/>
          <w:szCs w:val="24"/>
        </w:rPr>
        <w:t xml:space="preserve"> </w:t>
      </w:r>
      <w:r>
        <w:rPr>
          <w:rFonts w:ascii="Garamond" w:hAnsi="Garamond"/>
          <w:sz w:val="24"/>
          <w:szCs w:val="24"/>
        </w:rPr>
        <w:t>kan ordningen</w:t>
      </w:r>
      <w:r w:rsidR="00D63A69">
        <w:rPr>
          <w:rFonts w:ascii="Garamond" w:hAnsi="Garamond"/>
          <w:sz w:val="24"/>
          <w:szCs w:val="24"/>
        </w:rPr>
        <w:t xml:space="preserve"> justere</w:t>
      </w:r>
      <w:r>
        <w:rPr>
          <w:rFonts w:ascii="Garamond" w:hAnsi="Garamond"/>
          <w:sz w:val="24"/>
          <w:szCs w:val="24"/>
        </w:rPr>
        <w:t>, så</w:t>
      </w:r>
      <w:r w:rsidR="00CE06B8" w:rsidRPr="000F7905">
        <w:rPr>
          <w:rFonts w:ascii="Garamond" w:hAnsi="Garamond"/>
          <w:sz w:val="24"/>
          <w:szCs w:val="24"/>
        </w:rPr>
        <w:t>:</w:t>
      </w:r>
    </w:p>
    <w:p w:rsidR="00CE06B8" w:rsidRPr="002B3879" w:rsidRDefault="00CE06B8" w:rsidP="00D63A69">
      <w:pPr>
        <w:pStyle w:val="Listeafsnit"/>
        <w:numPr>
          <w:ilvl w:val="0"/>
          <w:numId w:val="20"/>
        </w:numPr>
        <w:tabs>
          <w:tab w:val="clear" w:pos="340"/>
        </w:tabs>
        <w:spacing w:line="276" w:lineRule="auto"/>
        <w:ind w:left="426" w:hanging="284"/>
        <w:jc w:val="both"/>
      </w:pPr>
      <w:r w:rsidRPr="000F7905">
        <w:t>afregningen af KMF afkobles fra den statslige aktivitetspulje</w:t>
      </w:r>
      <w:r w:rsidR="001E2E6A">
        <w:t>. Dermed indgår</w:t>
      </w:r>
      <w:r w:rsidRPr="000F7905">
        <w:t xml:space="preserve"> ordningen ikke længere i den marginale aktiv</w:t>
      </w:r>
      <w:r w:rsidR="00860508">
        <w:t>itetsfinansiering af regionerne</w:t>
      </w:r>
      <w:r w:rsidR="002024CF">
        <w:t xml:space="preserve">, </w:t>
      </w:r>
      <w:r w:rsidR="002024CF" w:rsidRPr="002024CF">
        <w:rPr>
          <w:i/>
        </w:rPr>
        <w:t>jf</w:t>
      </w:r>
      <w:r w:rsidR="001E2E6A">
        <w:rPr>
          <w:i/>
        </w:rPr>
        <w:t>.</w:t>
      </w:r>
      <w:r w:rsidR="002024CF" w:rsidRPr="002024CF">
        <w:rPr>
          <w:i/>
        </w:rPr>
        <w:t xml:space="preserve"> figur 4.1</w:t>
      </w:r>
      <w:r w:rsidRPr="002B3879">
        <w:t xml:space="preserve">. </w:t>
      </w:r>
    </w:p>
    <w:p w:rsidR="00CE06B8" w:rsidRDefault="00CE06B8" w:rsidP="00CE06B8">
      <w:pPr>
        <w:pStyle w:val="Listeafsnit"/>
        <w:tabs>
          <w:tab w:val="clear" w:pos="340"/>
        </w:tabs>
        <w:spacing w:line="276" w:lineRule="auto"/>
        <w:ind w:left="426" w:hanging="284"/>
        <w:jc w:val="both"/>
      </w:pPr>
    </w:p>
    <w:p w:rsidR="00CE06B8" w:rsidRPr="000F7905" w:rsidRDefault="00CE06B8" w:rsidP="00CE06B8">
      <w:pPr>
        <w:pStyle w:val="Listeafsnit"/>
        <w:tabs>
          <w:tab w:val="clear" w:pos="340"/>
        </w:tabs>
        <w:spacing w:line="276" w:lineRule="auto"/>
        <w:ind w:left="426"/>
        <w:jc w:val="both"/>
      </w:pPr>
      <w:r>
        <w:t>Det forudsatte kommunale udgiftsniveau for KMF forbliver uændret</w:t>
      </w:r>
      <w:r w:rsidR="00D63A69">
        <w:t xml:space="preserve"> og d</w:t>
      </w:r>
      <w:r>
        <w:t xml:space="preserve">e løbende indbetalinger fra kommunerne udover det regionale indtægtsloft </w:t>
      </w:r>
      <w:r w:rsidRPr="002B3879">
        <w:t xml:space="preserve">kanaliseres til staten til finansiering af det øgede regionale bloktilskud. </w:t>
      </w:r>
      <w:r>
        <w:t>Hvis indbetalinger</w:t>
      </w:r>
      <w:r w:rsidR="00D63A69">
        <w:t>ne</w:t>
      </w:r>
      <w:r w:rsidRPr="002B3879">
        <w:t xml:space="preserve"> </w:t>
      </w:r>
      <w:r>
        <w:t xml:space="preserve">fra kommunerne </w:t>
      </w:r>
      <w:r w:rsidRPr="002B3879">
        <w:t xml:space="preserve">ikke fuldt ud modsvarer </w:t>
      </w:r>
      <w:r>
        <w:t>det forudsatte og finansierede niveau</w:t>
      </w:r>
      <w:r w:rsidRPr="002B3879">
        <w:t xml:space="preserve">, </w:t>
      </w:r>
      <w:r>
        <w:t>foretages en efter</w:t>
      </w:r>
      <w:r w:rsidRPr="002B3879">
        <w:t>reguler</w:t>
      </w:r>
      <w:r>
        <w:t xml:space="preserve">ing </w:t>
      </w:r>
      <w:r w:rsidRPr="002B3879">
        <w:t>i det midtvejsregulerede kommunale bloktilskud</w:t>
      </w:r>
      <w:r>
        <w:t>.</w:t>
      </w:r>
    </w:p>
    <w:p w:rsidR="00CE06B8" w:rsidRPr="000F7905" w:rsidRDefault="00CE06B8" w:rsidP="00CE06B8">
      <w:pPr>
        <w:pStyle w:val="Listeafsnit"/>
        <w:spacing w:line="276" w:lineRule="auto"/>
        <w:ind w:left="426" w:hanging="284"/>
        <w:jc w:val="both"/>
      </w:pPr>
    </w:p>
    <w:p w:rsidR="002024CF" w:rsidRPr="00FE6833" w:rsidRDefault="00CE06B8" w:rsidP="00FE6833">
      <w:pPr>
        <w:pStyle w:val="Listeafsnit"/>
        <w:numPr>
          <w:ilvl w:val="0"/>
          <w:numId w:val="16"/>
        </w:numPr>
        <w:tabs>
          <w:tab w:val="clear" w:pos="340"/>
        </w:tabs>
        <w:spacing w:line="276" w:lineRule="auto"/>
        <w:ind w:left="426" w:hanging="284"/>
        <w:jc w:val="both"/>
        <w:rPr>
          <w:lang w:eastAsia="da-DK"/>
        </w:rPr>
      </w:pPr>
      <w:r w:rsidRPr="000F7905">
        <w:rPr>
          <w:lang w:eastAsia="da-DK"/>
        </w:rPr>
        <w:t xml:space="preserve">fordelingen af KMF-loftet ændres, så regionernes fremtidige andel af indtægterne ikke beror på regionernes aktivitet. </w:t>
      </w:r>
      <w:r w:rsidR="002024CF">
        <w:rPr>
          <w:lang w:eastAsia="da-DK"/>
        </w:rPr>
        <w:br w:type="page"/>
      </w:r>
    </w:p>
    <w:p w:rsidR="00CE06B8" w:rsidRPr="000F7905" w:rsidRDefault="00CE06B8" w:rsidP="00CE06B8">
      <w:pPr>
        <w:pStyle w:val="Listeafsnit"/>
        <w:rPr>
          <w:lang w:eastAsia="da-DK"/>
        </w:rPr>
      </w:pPr>
    </w:p>
    <w:tbl>
      <w:tblPr>
        <w:tblStyle w:val="Tabel-Gitter"/>
        <w:tblW w:w="7763" w:type="dxa"/>
        <w:tblBorders>
          <w:top w:val="single" w:sz="12" w:space="0" w:color="auto"/>
          <w:left w:val="none" w:sz="0" w:space="0" w:color="auto"/>
          <w:bottom w:val="single" w:sz="12" w:space="0" w:color="auto"/>
          <w:right w:val="none" w:sz="0" w:space="0" w:color="auto"/>
        </w:tblBorders>
        <w:shd w:val="clear" w:color="auto" w:fill="E9EFEC"/>
        <w:tblLook w:val="04A0" w:firstRow="1" w:lastRow="0" w:firstColumn="1" w:lastColumn="0" w:noHBand="0" w:noVBand="1"/>
      </w:tblPr>
      <w:tblGrid>
        <w:gridCol w:w="7866"/>
      </w:tblGrid>
      <w:tr w:rsidR="00D63A69" w:rsidRPr="004766E3" w:rsidTr="00483EBC">
        <w:tc>
          <w:tcPr>
            <w:tcW w:w="7763" w:type="dxa"/>
            <w:shd w:val="clear" w:color="auto" w:fill="E9EFEC"/>
            <w:hideMark/>
          </w:tcPr>
          <w:p w:rsidR="00D63A69" w:rsidRPr="004766E3" w:rsidRDefault="00D63A69" w:rsidP="00483EBC">
            <w:pPr>
              <w:spacing w:line="240" w:lineRule="auto"/>
              <w:rPr>
                <w:rFonts w:asciiTheme="minorHAnsi" w:hAnsiTheme="minorHAnsi"/>
                <w:b/>
                <w:sz w:val="16"/>
              </w:rPr>
            </w:pPr>
            <w:r>
              <w:rPr>
                <w:rFonts w:asciiTheme="minorHAnsi" w:hAnsiTheme="minorHAnsi"/>
                <w:b/>
                <w:sz w:val="16"/>
              </w:rPr>
              <w:t>Figur 4.1</w:t>
            </w:r>
            <w:r w:rsidRPr="004766E3">
              <w:rPr>
                <w:rFonts w:asciiTheme="minorHAnsi" w:hAnsiTheme="minorHAnsi"/>
                <w:b/>
                <w:sz w:val="16"/>
              </w:rPr>
              <w:br/>
            </w:r>
            <w:r>
              <w:rPr>
                <w:rFonts w:asciiTheme="minorHAnsi" w:hAnsiTheme="minorHAnsi"/>
                <w:b/>
                <w:color w:val="000000"/>
                <w:sz w:val="16"/>
              </w:rPr>
              <w:t>Nuværende og ændret ordning – sammenhængen mellem KMF, SAP og bloktilskud</w:t>
            </w:r>
          </w:p>
        </w:tc>
      </w:tr>
      <w:tr w:rsidR="00D63A69" w:rsidRPr="004766E3" w:rsidTr="00483EBC">
        <w:tblPrEx>
          <w:tblCellMar>
            <w:left w:w="70" w:type="dxa"/>
            <w:right w:w="70" w:type="dxa"/>
          </w:tblCellMar>
        </w:tblPrEx>
        <w:tc>
          <w:tcPr>
            <w:tcW w:w="7763" w:type="dxa"/>
            <w:shd w:val="clear" w:color="auto" w:fill="E9EFEC"/>
            <w:hideMark/>
          </w:tcPr>
          <w:p w:rsidR="00D63A69" w:rsidRPr="004766E3" w:rsidRDefault="00D63A69" w:rsidP="00483EBC">
            <w:pPr>
              <w:spacing w:line="240" w:lineRule="auto"/>
              <w:jc w:val="center"/>
              <w:rPr>
                <w:rFonts w:asciiTheme="minorHAnsi" w:hAnsiTheme="minorHAnsi"/>
                <w:sz w:val="14"/>
              </w:rPr>
            </w:pPr>
          </w:p>
        </w:tc>
      </w:tr>
      <w:tr w:rsidR="00D63A69" w:rsidRPr="004766E3" w:rsidTr="00483EBC">
        <w:tc>
          <w:tcPr>
            <w:tcW w:w="7763" w:type="dxa"/>
            <w:shd w:val="clear" w:color="auto" w:fill="E9EFEC"/>
          </w:tcPr>
          <w:p w:rsidR="00D63A69" w:rsidRPr="004766E3" w:rsidRDefault="00D63A69" w:rsidP="00483EBC">
            <w:pPr>
              <w:spacing w:line="240" w:lineRule="auto"/>
              <w:rPr>
                <w:rFonts w:asciiTheme="minorHAnsi" w:hAnsiTheme="minorHAnsi"/>
                <w:sz w:val="12"/>
              </w:rPr>
            </w:pPr>
            <w:r>
              <w:rPr>
                <w:noProof/>
                <w:sz w:val="12"/>
              </w:rPr>
              <w:drawing>
                <wp:inline distT="0" distB="0" distL="0" distR="0" wp14:anchorId="2A914166" wp14:editId="2186B3FB">
                  <wp:extent cx="4856480" cy="1768475"/>
                  <wp:effectExtent l="0" t="0" r="1270" b="317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6480" cy="1768475"/>
                          </a:xfrm>
                          <a:prstGeom prst="rect">
                            <a:avLst/>
                          </a:prstGeom>
                          <a:noFill/>
                          <a:ln>
                            <a:noFill/>
                          </a:ln>
                        </pic:spPr>
                      </pic:pic>
                    </a:graphicData>
                  </a:graphic>
                </wp:inline>
              </w:drawing>
            </w:r>
          </w:p>
        </w:tc>
      </w:tr>
    </w:tbl>
    <w:p w:rsidR="00FE6833" w:rsidRDefault="00FE6833">
      <w:pPr>
        <w:rPr>
          <w:rFonts w:ascii="Garamond" w:hAnsi="Garamond"/>
          <w:sz w:val="24"/>
          <w:szCs w:val="24"/>
        </w:rPr>
      </w:pPr>
    </w:p>
    <w:p w:rsidR="00CE06B8" w:rsidRDefault="002024CF">
      <w:pPr>
        <w:rPr>
          <w:b/>
          <w:color w:val="17365D" w:themeColor="text2" w:themeShade="BF"/>
          <w:sz w:val="36"/>
          <w:szCs w:val="36"/>
        </w:rPr>
      </w:pPr>
      <w:r>
        <w:rPr>
          <w:rFonts w:ascii="Garamond" w:hAnsi="Garamond"/>
          <w:sz w:val="24"/>
          <w:szCs w:val="24"/>
        </w:rPr>
        <w:t xml:space="preserve">Afkoblingen </w:t>
      </w:r>
      <w:r w:rsidR="001E2E6A">
        <w:rPr>
          <w:rFonts w:ascii="Garamond" w:hAnsi="Garamond"/>
          <w:sz w:val="24"/>
          <w:szCs w:val="24"/>
        </w:rPr>
        <w:t xml:space="preserve">er </w:t>
      </w:r>
      <w:r w:rsidRPr="005A1E3E">
        <w:rPr>
          <w:rFonts w:ascii="Garamond" w:hAnsi="Garamond"/>
          <w:sz w:val="24"/>
          <w:szCs w:val="24"/>
        </w:rPr>
        <w:t xml:space="preserve">en forudsætning for at </w:t>
      </w:r>
      <w:r>
        <w:rPr>
          <w:rFonts w:ascii="Garamond" w:hAnsi="Garamond"/>
          <w:sz w:val="24"/>
          <w:szCs w:val="24"/>
        </w:rPr>
        <w:t xml:space="preserve">differentiere, </w:t>
      </w:r>
      <w:r w:rsidRPr="002024CF">
        <w:rPr>
          <w:rFonts w:ascii="Garamond" w:hAnsi="Garamond"/>
          <w:i/>
          <w:sz w:val="24"/>
          <w:szCs w:val="24"/>
        </w:rPr>
        <w:t>jf. kapitel 3</w:t>
      </w:r>
      <w:r>
        <w:rPr>
          <w:rFonts w:ascii="Garamond" w:hAnsi="Garamond"/>
          <w:sz w:val="24"/>
          <w:szCs w:val="24"/>
        </w:rPr>
        <w:t>, da risikoen for regional kassetænkning elimineres</w:t>
      </w:r>
      <w:r w:rsidR="001E2E6A" w:rsidRPr="001E2E6A">
        <w:rPr>
          <w:rFonts w:ascii="Garamond" w:hAnsi="Garamond"/>
          <w:sz w:val="24"/>
          <w:szCs w:val="24"/>
        </w:rPr>
        <w:t xml:space="preserve"> </w:t>
      </w:r>
      <w:r w:rsidR="001E2E6A">
        <w:rPr>
          <w:rFonts w:ascii="Garamond" w:hAnsi="Garamond"/>
          <w:sz w:val="24"/>
          <w:szCs w:val="24"/>
        </w:rPr>
        <w:t>ved ovenfor ændringer</w:t>
      </w:r>
      <w:r>
        <w:rPr>
          <w:rFonts w:ascii="Garamond" w:hAnsi="Garamond"/>
          <w:sz w:val="24"/>
          <w:szCs w:val="24"/>
        </w:rPr>
        <w:t>.</w:t>
      </w:r>
      <w:r>
        <w:rPr>
          <w:b/>
          <w:color w:val="17365D" w:themeColor="text2" w:themeShade="BF"/>
          <w:sz w:val="36"/>
          <w:szCs w:val="36"/>
        </w:rPr>
        <w:t xml:space="preserve"> </w:t>
      </w:r>
      <w:r w:rsidR="00CE06B8">
        <w:rPr>
          <w:b/>
          <w:color w:val="17365D" w:themeColor="text2" w:themeShade="BF"/>
          <w:sz w:val="36"/>
          <w:szCs w:val="36"/>
        </w:rPr>
        <w:br w:type="page"/>
      </w:r>
    </w:p>
    <w:p w:rsidR="003B5520" w:rsidRPr="00B955F1" w:rsidRDefault="00CE06B8" w:rsidP="00CE06B8">
      <w:pPr>
        <w:pStyle w:val="Overskrift1"/>
        <w:pBdr>
          <w:bottom w:val="single" w:sz="4" w:space="1" w:color="4F81BD" w:themeColor="accent1"/>
        </w:pBdr>
        <w:jc w:val="both"/>
        <w:rPr>
          <w:b w:val="0"/>
          <w:color w:val="17365D" w:themeColor="text2" w:themeShade="BF"/>
          <w:sz w:val="36"/>
          <w:szCs w:val="36"/>
        </w:rPr>
      </w:pPr>
      <w:bookmarkStart w:id="12" w:name="_Toc451358727"/>
      <w:r>
        <w:rPr>
          <w:b w:val="0"/>
          <w:bCs w:val="0"/>
          <w:color w:val="17365D" w:themeColor="text2" w:themeShade="BF"/>
          <w:sz w:val="36"/>
          <w:szCs w:val="36"/>
        </w:rPr>
        <w:t xml:space="preserve">5. </w:t>
      </w:r>
      <w:r w:rsidR="00C06E9F">
        <w:rPr>
          <w:b w:val="0"/>
          <w:color w:val="17365D" w:themeColor="text2" w:themeShade="BF"/>
          <w:sz w:val="36"/>
          <w:szCs w:val="36"/>
        </w:rPr>
        <w:t>Ny beregningsmetode for</w:t>
      </w:r>
      <w:r w:rsidR="003B5520" w:rsidRPr="00B955F1">
        <w:rPr>
          <w:b w:val="0"/>
          <w:color w:val="17365D" w:themeColor="text2" w:themeShade="BF"/>
          <w:sz w:val="36"/>
          <w:szCs w:val="36"/>
        </w:rPr>
        <w:t xml:space="preserve"> KMF</w:t>
      </w:r>
      <w:bookmarkEnd w:id="12"/>
    </w:p>
    <w:p w:rsidR="00A315E5" w:rsidRDefault="00A315E5" w:rsidP="003B5520">
      <w:pPr>
        <w:jc w:val="both"/>
        <w:rPr>
          <w:rFonts w:ascii="Garamond" w:hAnsi="Garamond"/>
          <w:sz w:val="24"/>
          <w:szCs w:val="24"/>
        </w:rPr>
      </w:pPr>
    </w:p>
    <w:p w:rsidR="003B5520" w:rsidRDefault="003B5520" w:rsidP="003B5520">
      <w:pPr>
        <w:jc w:val="both"/>
        <w:rPr>
          <w:rFonts w:ascii="Garamond" w:hAnsi="Garamond"/>
          <w:sz w:val="24"/>
          <w:szCs w:val="24"/>
        </w:rPr>
      </w:pPr>
      <w:r>
        <w:rPr>
          <w:rFonts w:ascii="Garamond" w:hAnsi="Garamond"/>
          <w:sz w:val="24"/>
          <w:szCs w:val="24"/>
        </w:rPr>
        <w:t xml:space="preserve">Med den nuværende ordning </w:t>
      </w:r>
      <w:r w:rsidRPr="00132751">
        <w:rPr>
          <w:rFonts w:ascii="Garamond" w:hAnsi="Garamond"/>
          <w:sz w:val="24"/>
          <w:szCs w:val="24"/>
        </w:rPr>
        <w:t xml:space="preserve">betaler </w:t>
      </w:r>
      <w:r>
        <w:rPr>
          <w:rFonts w:ascii="Garamond" w:hAnsi="Garamond"/>
          <w:sz w:val="24"/>
          <w:szCs w:val="24"/>
        </w:rPr>
        <w:t>k</w:t>
      </w:r>
      <w:r w:rsidRPr="00132751">
        <w:rPr>
          <w:rFonts w:ascii="Garamond" w:hAnsi="Garamond"/>
          <w:sz w:val="24"/>
          <w:szCs w:val="24"/>
        </w:rPr>
        <w:t xml:space="preserve">ommunerne </w:t>
      </w:r>
      <w:r>
        <w:rPr>
          <w:rFonts w:ascii="Garamond" w:hAnsi="Garamond"/>
          <w:sz w:val="24"/>
          <w:szCs w:val="24"/>
        </w:rPr>
        <w:t>medfinansiering, når en patient bliver overflyttet mellem sygehuse</w:t>
      </w:r>
      <w:r w:rsidR="006B745D">
        <w:rPr>
          <w:rFonts w:ascii="Garamond" w:hAnsi="Garamond"/>
          <w:sz w:val="24"/>
          <w:szCs w:val="24"/>
        </w:rPr>
        <w:t>, og</w:t>
      </w:r>
      <w:r w:rsidR="0013078E">
        <w:rPr>
          <w:rFonts w:ascii="Garamond" w:hAnsi="Garamond"/>
          <w:sz w:val="24"/>
          <w:szCs w:val="24"/>
        </w:rPr>
        <w:t xml:space="preserve"> e</w:t>
      </w:r>
      <w:r>
        <w:rPr>
          <w:rFonts w:ascii="Garamond" w:hAnsi="Garamond"/>
          <w:sz w:val="24"/>
          <w:szCs w:val="24"/>
        </w:rPr>
        <w:t xml:space="preserve">n kommune </w:t>
      </w:r>
      <w:r w:rsidR="006B745D">
        <w:rPr>
          <w:rFonts w:ascii="Garamond" w:hAnsi="Garamond"/>
          <w:sz w:val="24"/>
          <w:szCs w:val="24"/>
        </w:rPr>
        <w:t xml:space="preserve">kan derfor </w:t>
      </w:r>
      <w:r>
        <w:rPr>
          <w:rFonts w:ascii="Garamond" w:hAnsi="Garamond"/>
          <w:sz w:val="24"/>
          <w:szCs w:val="24"/>
        </w:rPr>
        <w:t>risikere at beta</w:t>
      </w:r>
      <w:r w:rsidR="007D4E1A">
        <w:rPr>
          <w:rFonts w:ascii="Garamond" w:hAnsi="Garamond"/>
          <w:sz w:val="24"/>
          <w:szCs w:val="24"/>
        </w:rPr>
        <w:t xml:space="preserve">le </w:t>
      </w:r>
      <w:r w:rsidR="00C06E9F">
        <w:rPr>
          <w:rFonts w:ascii="Garamond" w:hAnsi="Garamond"/>
          <w:sz w:val="24"/>
          <w:szCs w:val="24"/>
        </w:rPr>
        <w:t>utilsigtet medfinansiering (</w:t>
      </w:r>
      <w:r w:rsidR="007D4E1A">
        <w:rPr>
          <w:rFonts w:ascii="Garamond" w:hAnsi="Garamond"/>
          <w:sz w:val="24"/>
          <w:szCs w:val="24"/>
        </w:rPr>
        <w:t>dobbelt for et patientforløb</w:t>
      </w:r>
      <w:r w:rsidR="00C06E9F">
        <w:rPr>
          <w:rFonts w:ascii="Garamond" w:hAnsi="Garamond"/>
          <w:sz w:val="24"/>
          <w:szCs w:val="24"/>
        </w:rPr>
        <w:t>)</w:t>
      </w:r>
      <w:r w:rsidR="007D4E1A">
        <w:rPr>
          <w:rFonts w:ascii="Garamond" w:hAnsi="Garamond"/>
          <w:sz w:val="24"/>
          <w:szCs w:val="24"/>
        </w:rPr>
        <w:t xml:space="preserve">. </w:t>
      </w:r>
      <w:r w:rsidR="00C06E9F">
        <w:rPr>
          <w:rFonts w:ascii="Garamond" w:hAnsi="Garamond"/>
          <w:sz w:val="24"/>
          <w:szCs w:val="24"/>
        </w:rPr>
        <w:t>M</w:t>
      </w:r>
      <w:r>
        <w:rPr>
          <w:rFonts w:ascii="Garamond" w:hAnsi="Garamond"/>
          <w:sz w:val="24"/>
          <w:szCs w:val="24"/>
        </w:rPr>
        <w:t>uligt tiltag for at løse problemet</w:t>
      </w:r>
      <w:r w:rsidR="0013078E">
        <w:rPr>
          <w:rFonts w:ascii="Garamond" w:hAnsi="Garamond"/>
          <w:sz w:val="24"/>
          <w:szCs w:val="24"/>
        </w:rPr>
        <w:t xml:space="preserve"> med </w:t>
      </w:r>
      <w:r w:rsidR="00C06E9F">
        <w:rPr>
          <w:rFonts w:ascii="Garamond" w:hAnsi="Garamond"/>
          <w:sz w:val="24"/>
          <w:szCs w:val="24"/>
        </w:rPr>
        <w:t>”</w:t>
      </w:r>
      <w:r w:rsidR="0013078E">
        <w:rPr>
          <w:rFonts w:ascii="Garamond" w:hAnsi="Garamond"/>
          <w:sz w:val="24"/>
          <w:szCs w:val="24"/>
        </w:rPr>
        <w:t>overbetalingen</w:t>
      </w:r>
      <w:r w:rsidR="00C06E9F">
        <w:rPr>
          <w:rFonts w:ascii="Garamond" w:hAnsi="Garamond"/>
          <w:sz w:val="24"/>
          <w:szCs w:val="24"/>
        </w:rPr>
        <w:t>” fremgår nedenfor</w:t>
      </w:r>
      <w:r>
        <w:rPr>
          <w:rFonts w:ascii="Garamond" w:hAnsi="Garamond"/>
          <w:sz w:val="24"/>
          <w:szCs w:val="24"/>
        </w:rPr>
        <w:t xml:space="preserve">. </w:t>
      </w:r>
    </w:p>
    <w:p w:rsidR="003B5520" w:rsidRPr="00132751" w:rsidRDefault="003B5520" w:rsidP="003B5520">
      <w:pPr>
        <w:spacing w:after="0"/>
        <w:jc w:val="both"/>
        <w:rPr>
          <w:rFonts w:ascii="Garamond" w:hAnsi="Garamond"/>
          <w:i/>
          <w:sz w:val="24"/>
          <w:szCs w:val="24"/>
        </w:rPr>
      </w:pPr>
      <w:r>
        <w:rPr>
          <w:rFonts w:ascii="Garamond" w:hAnsi="Garamond"/>
          <w:i/>
          <w:sz w:val="24"/>
          <w:szCs w:val="24"/>
        </w:rPr>
        <w:t>Ændring af den beregnet KMF</w:t>
      </w:r>
    </w:p>
    <w:p w:rsidR="003B5520" w:rsidRDefault="003B5520" w:rsidP="003B5520">
      <w:pPr>
        <w:jc w:val="both"/>
        <w:rPr>
          <w:rFonts w:ascii="Garamond" w:hAnsi="Garamond"/>
          <w:sz w:val="24"/>
          <w:szCs w:val="24"/>
        </w:rPr>
      </w:pPr>
      <w:r w:rsidRPr="00132751">
        <w:rPr>
          <w:rFonts w:ascii="Garamond" w:hAnsi="Garamond"/>
          <w:sz w:val="24"/>
          <w:szCs w:val="24"/>
        </w:rPr>
        <w:t xml:space="preserve">Den nuværende ordning indebærer, at overflytninger af patienter mellem hospitalerne har et gennemslag på KMF for hvert isolerede sygehusforløb og ikke alene inden for den sammenhængende forløb på tværs af sygehusene. Det medfører, at den regionale organisering af sygehusstrukturen direkte har </w:t>
      </w:r>
      <w:r w:rsidR="00C06E9F">
        <w:rPr>
          <w:rFonts w:ascii="Garamond" w:hAnsi="Garamond"/>
          <w:sz w:val="24"/>
          <w:szCs w:val="24"/>
        </w:rPr>
        <w:t xml:space="preserve">utilsigtet </w:t>
      </w:r>
      <w:r w:rsidRPr="00132751">
        <w:rPr>
          <w:rFonts w:ascii="Garamond" w:hAnsi="Garamond"/>
          <w:sz w:val="24"/>
          <w:szCs w:val="24"/>
        </w:rPr>
        <w:t xml:space="preserve">betydning på den kommunale medfinansiering. </w:t>
      </w:r>
    </w:p>
    <w:p w:rsidR="003B5520" w:rsidRDefault="003B5520" w:rsidP="003B5520">
      <w:pPr>
        <w:jc w:val="both"/>
        <w:rPr>
          <w:rFonts w:ascii="Garamond" w:hAnsi="Garamond"/>
          <w:sz w:val="24"/>
          <w:szCs w:val="24"/>
        </w:rPr>
      </w:pPr>
      <w:r>
        <w:rPr>
          <w:rFonts w:ascii="Garamond" w:hAnsi="Garamond"/>
          <w:sz w:val="24"/>
          <w:szCs w:val="24"/>
        </w:rPr>
        <w:t>U</w:t>
      </w:r>
      <w:r w:rsidRPr="00132751">
        <w:rPr>
          <w:rFonts w:ascii="Garamond" w:hAnsi="Garamond"/>
          <w:sz w:val="24"/>
          <w:szCs w:val="24"/>
        </w:rPr>
        <w:t>nder den eksisterende ordning</w:t>
      </w:r>
      <w:r>
        <w:rPr>
          <w:rFonts w:ascii="Garamond" w:hAnsi="Garamond"/>
          <w:sz w:val="24"/>
          <w:szCs w:val="24"/>
        </w:rPr>
        <w:t xml:space="preserve"> har</w:t>
      </w:r>
      <w:r w:rsidRPr="00132751">
        <w:rPr>
          <w:rFonts w:ascii="Garamond" w:hAnsi="Garamond"/>
          <w:sz w:val="24"/>
          <w:szCs w:val="24"/>
        </w:rPr>
        <w:t xml:space="preserve"> </w:t>
      </w:r>
      <w:r>
        <w:rPr>
          <w:rFonts w:ascii="Garamond" w:hAnsi="Garamond"/>
          <w:sz w:val="24"/>
          <w:szCs w:val="24"/>
        </w:rPr>
        <w:t>k</w:t>
      </w:r>
      <w:r w:rsidRPr="00132751">
        <w:rPr>
          <w:rFonts w:ascii="Garamond" w:hAnsi="Garamond"/>
          <w:sz w:val="24"/>
          <w:szCs w:val="24"/>
        </w:rPr>
        <w:t>ommune</w:t>
      </w:r>
      <w:r>
        <w:rPr>
          <w:rFonts w:ascii="Garamond" w:hAnsi="Garamond"/>
          <w:sz w:val="24"/>
          <w:szCs w:val="24"/>
        </w:rPr>
        <w:t xml:space="preserve">r, hvis borgere alene bruger ét </w:t>
      </w:r>
      <w:r w:rsidRPr="00132751">
        <w:rPr>
          <w:rFonts w:ascii="Garamond" w:hAnsi="Garamond"/>
          <w:sz w:val="24"/>
          <w:szCs w:val="24"/>
        </w:rPr>
        <w:t>sygehus</w:t>
      </w:r>
      <w:r>
        <w:rPr>
          <w:rFonts w:ascii="Garamond" w:hAnsi="Garamond"/>
          <w:sz w:val="24"/>
          <w:szCs w:val="24"/>
        </w:rPr>
        <w:t>,</w:t>
      </w:r>
      <w:r w:rsidRPr="00132751">
        <w:rPr>
          <w:rFonts w:ascii="Garamond" w:hAnsi="Garamond"/>
          <w:sz w:val="24"/>
          <w:szCs w:val="24"/>
        </w:rPr>
        <w:t xml:space="preserve"> således alt andet lige betalt mindre KMF i forhold til </w:t>
      </w:r>
      <w:r>
        <w:rPr>
          <w:rFonts w:ascii="Garamond" w:hAnsi="Garamond"/>
          <w:sz w:val="24"/>
          <w:szCs w:val="24"/>
        </w:rPr>
        <w:t xml:space="preserve">de </w:t>
      </w:r>
      <w:r w:rsidRPr="00132751">
        <w:rPr>
          <w:rFonts w:ascii="Garamond" w:hAnsi="Garamond"/>
          <w:sz w:val="24"/>
          <w:szCs w:val="24"/>
        </w:rPr>
        <w:t xml:space="preserve">kommuner, hvis borgere typisk har haft forløb, der går på tværs af forskellige sygehuse. </w:t>
      </w:r>
    </w:p>
    <w:p w:rsidR="002024CF" w:rsidRDefault="001E2E6A" w:rsidP="003B5520">
      <w:pPr>
        <w:jc w:val="both"/>
        <w:rPr>
          <w:rFonts w:ascii="Garamond" w:hAnsi="Garamond"/>
          <w:sz w:val="24"/>
          <w:szCs w:val="24"/>
        </w:rPr>
      </w:pPr>
      <w:r>
        <w:rPr>
          <w:rFonts w:ascii="Garamond" w:hAnsi="Garamond"/>
          <w:sz w:val="24"/>
          <w:szCs w:val="24"/>
        </w:rPr>
        <w:t xml:space="preserve">I 2014 </w:t>
      </w:r>
      <w:r w:rsidR="002024CF">
        <w:rPr>
          <w:rFonts w:ascii="Garamond" w:hAnsi="Garamond"/>
          <w:sz w:val="24"/>
          <w:szCs w:val="24"/>
        </w:rPr>
        <w:t xml:space="preserve">Kommunerne </w:t>
      </w:r>
      <w:r>
        <w:rPr>
          <w:rFonts w:ascii="Garamond" w:hAnsi="Garamond"/>
          <w:sz w:val="24"/>
          <w:szCs w:val="24"/>
        </w:rPr>
        <w:t>har</w:t>
      </w:r>
      <w:r w:rsidR="002024CF">
        <w:rPr>
          <w:rFonts w:ascii="Garamond" w:hAnsi="Garamond"/>
          <w:sz w:val="24"/>
          <w:szCs w:val="24"/>
        </w:rPr>
        <w:t xml:space="preserve"> Region Hovedstaden betalt 160 mio. kr. i medfinansiering pga. overflytninger mellem sygehuse, mens Region Sjælland har betalt 4,7 mio. kr</w:t>
      </w:r>
      <w:r w:rsidR="002024CF" w:rsidRPr="002024CF">
        <w:rPr>
          <w:rFonts w:ascii="Garamond" w:hAnsi="Garamond"/>
          <w:i/>
          <w:sz w:val="24"/>
          <w:szCs w:val="24"/>
        </w:rPr>
        <w:t>., jf. tabel 5.1</w:t>
      </w:r>
      <w:r w:rsidR="002024CF">
        <w:rPr>
          <w:rFonts w:ascii="Garamond" w:hAnsi="Garamond"/>
          <w:i/>
          <w:sz w:val="24"/>
          <w:szCs w:val="24"/>
        </w:rPr>
        <w:t>.</w:t>
      </w:r>
      <w:r w:rsidR="002024CF">
        <w:rPr>
          <w:rFonts w:ascii="Garamond" w:hAnsi="Garamond"/>
          <w:sz w:val="24"/>
          <w:szCs w:val="24"/>
        </w:rPr>
        <w:t xml:space="preserve"> </w:t>
      </w:r>
    </w:p>
    <w:tbl>
      <w:tblPr>
        <w:tblW w:w="5000" w:type="pct"/>
        <w:tblCellMar>
          <w:left w:w="0" w:type="dxa"/>
          <w:right w:w="0" w:type="dxa"/>
        </w:tblCellMar>
        <w:tblLook w:val="04A0" w:firstRow="1" w:lastRow="0" w:firstColumn="1" w:lastColumn="0" w:noHBand="0" w:noVBand="1"/>
      </w:tblPr>
      <w:tblGrid>
        <w:gridCol w:w="1722"/>
        <w:gridCol w:w="1442"/>
        <w:gridCol w:w="1484"/>
        <w:gridCol w:w="1433"/>
        <w:gridCol w:w="1430"/>
      </w:tblGrid>
      <w:tr w:rsidR="00E12C3C" w:rsidTr="00483EBC">
        <w:trPr>
          <w:trHeight w:val="116"/>
        </w:trPr>
        <w:tc>
          <w:tcPr>
            <w:tcW w:w="5000" w:type="pct"/>
            <w:gridSpan w:val="5"/>
            <w:tcBorders>
              <w:top w:val="single" w:sz="12" w:space="0" w:color="auto"/>
              <w:left w:val="nil"/>
              <w:bottom w:val="nil"/>
              <w:right w:val="nil"/>
            </w:tcBorders>
            <w:shd w:val="clear" w:color="auto" w:fill="E9EFEC"/>
            <w:noWrap/>
            <w:tcMar>
              <w:top w:w="0" w:type="dxa"/>
              <w:left w:w="70" w:type="dxa"/>
              <w:bottom w:w="0" w:type="dxa"/>
              <w:right w:w="70" w:type="dxa"/>
            </w:tcMar>
            <w:vAlign w:val="bottom"/>
            <w:hideMark/>
          </w:tcPr>
          <w:p w:rsidR="00E12C3C" w:rsidRDefault="00E12C3C" w:rsidP="002024CF">
            <w:pPr>
              <w:spacing w:after="0"/>
              <w:rPr>
                <w:rFonts w:ascii="Arial" w:hAnsi="Arial" w:cs="Arial"/>
                <w:b/>
                <w:bCs/>
                <w:color w:val="000000"/>
                <w:sz w:val="14"/>
                <w:szCs w:val="14"/>
                <w:lang w:eastAsia="da-DK"/>
              </w:rPr>
            </w:pPr>
            <w:r>
              <w:rPr>
                <w:rFonts w:ascii="Arial" w:hAnsi="Arial" w:cs="Arial"/>
                <w:b/>
                <w:bCs/>
                <w:color w:val="000000"/>
                <w:sz w:val="14"/>
                <w:szCs w:val="14"/>
                <w:lang w:eastAsia="da-DK"/>
              </w:rPr>
              <w:t>Tabel 5.</w:t>
            </w:r>
            <w:r w:rsidR="002024CF">
              <w:rPr>
                <w:rFonts w:ascii="Arial" w:hAnsi="Arial" w:cs="Arial"/>
                <w:b/>
                <w:bCs/>
                <w:color w:val="000000"/>
                <w:sz w:val="14"/>
                <w:szCs w:val="14"/>
                <w:lang w:eastAsia="da-DK"/>
              </w:rPr>
              <w:t>1</w:t>
            </w:r>
          </w:p>
        </w:tc>
      </w:tr>
      <w:tr w:rsidR="00E12C3C" w:rsidTr="00483EBC">
        <w:trPr>
          <w:trHeight w:val="74"/>
        </w:trPr>
        <w:tc>
          <w:tcPr>
            <w:tcW w:w="5000" w:type="pct"/>
            <w:gridSpan w:val="5"/>
            <w:shd w:val="clear" w:color="auto" w:fill="E9EFEC"/>
            <w:noWrap/>
            <w:tcMar>
              <w:top w:w="0" w:type="dxa"/>
              <w:left w:w="70" w:type="dxa"/>
              <w:bottom w:w="0" w:type="dxa"/>
              <w:right w:w="70" w:type="dxa"/>
            </w:tcMar>
            <w:vAlign w:val="bottom"/>
            <w:hideMark/>
          </w:tcPr>
          <w:p w:rsidR="00E12C3C" w:rsidRDefault="002024CF" w:rsidP="002024CF">
            <w:pPr>
              <w:spacing w:after="0"/>
              <w:rPr>
                <w:rFonts w:ascii="Arial" w:hAnsi="Arial" w:cs="Arial"/>
                <w:b/>
                <w:bCs/>
                <w:color w:val="000000"/>
                <w:sz w:val="14"/>
                <w:szCs w:val="14"/>
                <w:lang w:eastAsia="da-DK"/>
              </w:rPr>
            </w:pPr>
            <w:r>
              <w:rPr>
                <w:rFonts w:ascii="Arial" w:hAnsi="Arial" w:cs="Arial"/>
                <w:b/>
                <w:bCs/>
                <w:color w:val="000000"/>
                <w:sz w:val="14"/>
                <w:szCs w:val="14"/>
                <w:lang w:eastAsia="da-DK"/>
              </w:rPr>
              <w:t>KMF pga. overflytninger af patienter for kommunerne</w:t>
            </w:r>
            <w:r w:rsidR="00E12C3C">
              <w:rPr>
                <w:rFonts w:ascii="Arial" w:hAnsi="Arial" w:cs="Arial"/>
                <w:b/>
                <w:bCs/>
                <w:color w:val="000000"/>
                <w:sz w:val="14"/>
                <w:szCs w:val="14"/>
                <w:lang w:eastAsia="da-DK"/>
              </w:rPr>
              <w:t xml:space="preserve"> </w:t>
            </w:r>
            <w:r>
              <w:rPr>
                <w:rFonts w:ascii="Arial" w:hAnsi="Arial" w:cs="Arial"/>
                <w:b/>
                <w:bCs/>
                <w:color w:val="000000"/>
                <w:sz w:val="14"/>
                <w:szCs w:val="14"/>
                <w:lang w:eastAsia="da-DK"/>
              </w:rPr>
              <w:t>i 2014 og 2015, regionsfordelt</w:t>
            </w:r>
          </w:p>
        </w:tc>
      </w:tr>
      <w:tr w:rsidR="00E12C3C" w:rsidRPr="00E12C3C" w:rsidTr="00E12C3C">
        <w:trPr>
          <w:trHeight w:val="259"/>
        </w:trPr>
        <w:tc>
          <w:tcPr>
            <w:tcW w:w="1146" w:type="pct"/>
            <w:tcBorders>
              <w:top w:val="single" w:sz="8" w:space="0" w:color="auto"/>
              <w:left w:val="nil"/>
              <w:bottom w:val="single" w:sz="8" w:space="0" w:color="auto"/>
              <w:right w:val="nil"/>
            </w:tcBorders>
            <w:shd w:val="clear" w:color="auto" w:fill="E9EFEC"/>
            <w:noWrap/>
            <w:tcMar>
              <w:top w:w="0" w:type="dxa"/>
              <w:left w:w="70" w:type="dxa"/>
              <w:bottom w:w="0" w:type="dxa"/>
              <w:right w:w="70" w:type="dxa"/>
            </w:tcMar>
            <w:vAlign w:val="bottom"/>
            <w:hideMark/>
          </w:tcPr>
          <w:p w:rsidR="00E12C3C" w:rsidRPr="002024CF" w:rsidRDefault="00E12C3C" w:rsidP="00E12C3C">
            <w:pPr>
              <w:spacing w:after="0"/>
              <w:rPr>
                <w:rFonts w:cs="Arial"/>
                <w:color w:val="000000"/>
                <w:sz w:val="14"/>
                <w:szCs w:val="14"/>
                <w:lang w:eastAsia="da-DK"/>
              </w:rPr>
            </w:pPr>
            <w:r w:rsidRPr="002024CF">
              <w:rPr>
                <w:rFonts w:cs="Arial"/>
                <w:color w:val="000000"/>
                <w:sz w:val="14"/>
                <w:szCs w:val="14"/>
                <w:lang w:eastAsia="da-DK"/>
              </w:rPr>
              <w:t>Mio.kr. årets pl</w:t>
            </w:r>
          </w:p>
        </w:tc>
        <w:tc>
          <w:tcPr>
            <w:tcW w:w="960"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tcPr>
          <w:p w:rsidR="00E12C3C" w:rsidRPr="002024CF" w:rsidRDefault="00E12C3C" w:rsidP="00E12C3C">
            <w:pPr>
              <w:spacing w:after="0"/>
              <w:jc w:val="right"/>
              <w:rPr>
                <w:rFonts w:cs="Arial"/>
                <w:color w:val="000000"/>
                <w:sz w:val="14"/>
                <w:szCs w:val="14"/>
                <w:lang w:eastAsia="da-DK"/>
              </w:rPr>
            </w:pPr>
          </w:p>
        </w:tc>
        <w:tc>
          <w:tcPr>
            <w:tcW w:w="988"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tcPr>
          <w:p w:rsidR="00E12C3C" w:rsidRPr="002024CF" w:rsidRDefault="00E12C3C" w:rsidP="00E12C3C">
            <w:pPr>
              <w:spacing w:after="0"/>
              <w:jc w:val="right"/>
              <w:rPr>
                <w:rFonts w:cs="Arial"/>
                <w:color w:val="000000"/>
                <w:sz w:val="14"/>
                <w:szCs w:val="14"/>
                <w:lang w:eastAsia="da-DK"/>
              </w:rPr>
            </w:pPr>
          </w:p>
        </w:tc>
        <w:tc>
          <w:tcPr>
            <w:tcW w:w="954"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E12C3C" w:rsidRPr="002024CF" w:rsidRDefault="00E12C3C" w:rsidP="00E12C3C">
            <w:pPr>
              <w:spacing w:after="0"/>
              <w:jc w:val="right"/>
              <w:rPr>
                <w:rFonts w:cs="Arial"/>
                <w:color w:val="000000"/>
                <w:sz w:val="14"/>
                <w:szCs w:val="14"/>
                <w:lang w:eastAsia="da-DK"/>
              </w:rPr>
            </w:pPr>
            <w:r w:rsidRPr="002024CF">
              <w:rPr>
                <w:rFonts w:cs="Arial"/>
                <w:color w:val="000000"/>
                <w:sz w:val="14"/>
                <w:szCs w:val="14"/>
                <w:lang w:eastAsia="da-DK"/>
              </w:rPr>
              <w:t>2014</w:t>
            </w:r>
          </w:p>
        </w:tc>
        <w:tc>
          <w:tcPr>
            <w:tcW w:w="952"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E12C3C" w:rsidRPr="00E12C3C" w:rsidRDefault="00E12C3C" w:rsidP="00E12C3C">
            <w:pPr>
              <w:spacing w:after="0"/>
              <w:jc w:val="right"/>
              <w:rPr>
                <w:rFonts w:cs="Arial"/>
                <w:color w:val="000000"/>
                <w:sz w:val="14"/>
                <w:szCs w:val="14"/>
                <w:lang w:eastAsia="da-DK"/>
              </w:rPr>
            </w:pPr>
            <w:r w:rsidRPr="002024CF">
              <w:rPr>
                <w:rFonts w:cs="Arial"/>
                <w:color w:val="000000"/>
                <w:sz w:val="14"/>
                <w:szCs w:val="14"/>
                <w:lang w:eastAsia="da-DK"/>
              </w:rPr>
              <w:t>2015</w:t>
            </w:r>
          </w:p>
        </w:tc>
      </w:tr>
      <w:tr w:rsidR="00E12C3C" w:rsidRPr="00E12C3C" w:rsidTr="00E12C3C">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color w:val="000000"/>
                <w:sz w:val="14"/>
                <w:szCs w:val="14"/>
                <w:lang w:eastAsia="da-DK"/>
              </w:rPr>
            </w:pPr>
            <w:r w:rsidRPr="00E12C3C">
              <w:rPr>
                <w:rFonts w:cs="Arial"/>
                <w:color w:val="000000"/>
                <w:sz w:val="14"/>
                <w:szCs w:val="14"/>
                <w:lang w:eastAsia="da-DK"/>
              </w:rPr>
              <w:t>Region Nordjylland</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37,0</w:t>
            </w:r>
          </w:p>
        </w:tc>
        <w:tc>
          <w:tcPr>
            <w:tcW w:w="952"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31,1</w:t>
            </w:r>
          </w:p>
        </w:tc>
      </w:tr>
      <w:tr w:rsidR="00E12C3C" w:rsidRPr="00E12C3C" w:rsidTr="00E12C3C">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color w:val="000000"/>
                <w:sz w:val="14"/>
                <w:szCs w:val="14"/>
                <w:lang w:eastAsia="da-DK"/>
              </w:rPr>
            </w:pPr>
            <w:r w:rsidRPr="00E12C3C">
              <w:rPr>
                <w:rFonts w:cs="Arial"/>
                <w:color w:val="000000"/>
                <w:sz w:val="14"/>
                <w:szCs w:val="14"/>
                <w:lang w:eastAsia="da-DK"/>
              </w:rPr>
              <w:t>Region Midtjylland</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82,2</w:t>
            </w:r>
          </w:p>
        </w:tc>
        <w:tc>
          <w:tcPr>
            <w:tcW w:w="952"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75,2</w:t>
            </w:r>
          </w:p>
        </w:tc>
      </w:tr>
      <w:tr w:rsidR="00E12C3C" w:rsidRPr="00E12C3C" w:rsidTr="00E12C3C">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color w:val="000000"/>
                <w:sz w:val="14"/>
                <w:szCs w:val="14"/>
                <w:lang w:eastAsia="da-DK"/>
              </w:rPr>
            </w:pPr>
            <w:r w:rsidRPr="00E12C3C">
              <w:rPr>
                <w:rFonts w:cs="Arial"/>
                <w:color w:val="000000"/>
                <w:sz w:val="14"/>
                <w:szCs w:val="14"/>
                <w:lang w:eastAsia="da-DK"/>
              </w:rPr>
              <w:t>Region Syddanmark</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57,3</w:t>
            </w:r>
          </w:p>
        </w:tc>
        <w:tc>
          <w:tcPr>
            <w:tcW w:w="952"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48,7</w:t>
            </w:r>
          </w:p>
        </w:tc>
      </w:tr>
      <w:tr w:rsidR="00E12C3C" w:rsidRPr="00E12C3C" w:rsidTr="00E12C3C">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color w:val="000000"/>
                <w:sz w:val="14"/>
                <w:szCs w:val="14"/>
                <w:lang w:eastAsia="da-DK"/>
              </w:rPr>
            </w:pPr>
            <w:r w:rsidRPr="00E12C3C">
              <w:rPr>
                <w:rFonts w:cs="Arial"/>
                <w:color w:val="000000"/>
                <w:sz w:val="14"/>
                <w:szCs w:val="14"/>
                <w:lang w:eastAsia="da-DK"/>
              </w:rPr>
              <w:t>Region Hovedstaden</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160,6</w:t>
            </w:r>
          </w:p>
        </w:tc>
        <w:tc>
          <w:tcPr>
            <w:tcW w:w="952" w:type="pct"/>
            <w:tcBorders>
              <w:top w:val="nil"/>
              <w:left w:val="nil"/>
              <w:bottom w:val="single" w:sz="8" w:space="0" w:color="E9EFEC"/>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118,6</w:t>
            </w:r>
          </w:p>
        </w:tc>
      </w:tr>
      <w:tr w:rsidR="00E12C3C" w:rsidRPr="00E12C3C" w:rsidTr="00E12C3C">
        <w:trPr>
          <w:trHeight w:val="259"/>
        </w:trPr>
        <w:tc>
          <w:tcPr>
            <w:tcW w:w="1146" w:type="pct"/>
            <w:tcBorders>
              <w:top w:val="nil"/>
              <w:left w:val="nil"/>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color w:val="000000"/>
                <w:sz w:val="14"/>
                <w:szCs w:val="14"/>
                <w:lang w:eastAsia="da-DK"/>
              </w:rPr>
            </w:pPr>
            <w:r w:rsidRPr="00E12C3C">
              <w:rPr>
                <w:rFonts w:cs="Arial"/>
                <w:color w:val="000000"/>
                <w:sz w:val="14"/>
                <w:szCs w:val="14"/>
                <w:lang w:eastAsia="da-DK"/>
              </w:rPr>
              <w:t>Region Sjælland</w:t>
            </w:r>
          </w:p>
        </w:tc>
        <w:tc>
          <w:tcPr>
            <w:tcW w:w="960" w:type="pct"/>
            <w:tcBorders>
              <w:top w:val="nil"/>
              <w:left w:val="nil"/>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88" w:type="pct"/>
            <w:tcBorders>
              <w:top w:val="nil"/>
              <w:left w:val="nil"/>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color w:val="000000"/>
                <w:sz w:val="14"/>
                <w:szCs w:val="14"/>
                <w:lang w:eastAsia="da-DK"/>
              </w:rPr>
            </w:pPr>
          </w:p>
        </w:tc>
        <w:tc>
          <w:tcPr>
            <w:tcW w:w="954" w:type="pct"/>
            <w:tcBorders>
              <w:top w:val="nil"/>
              <w:left w:val="nil"/>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4,7</w:t>
            </w:r>
          </w:p>
        </w:tc>
        <w:tc>
          <w:tcPr>
            <w:tcW w:w="952" w:type="pct"/>
            <w:tcBorders>
              <w:top w:val="nil"/>
              <w:left w:val="nil"/>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line="240" w:lineRule="auto"/>
              <w:jc w:val="right"/>
              <w:rPr>
                <w:sz w:val="14"/>
                <w:szCs w:val="14"/>
              </w:rPr>
            </w:pPr>
            <w:r>
              <w:rPr>
                <w:sz w:val="14"/>
                <w:szCs w:val="14"/>
              </w:rPr>
              <w:t>-</w:t>
            </w:r>
            <w:r w:rsidR="00E12C3C" w:rsidRPr="00E12C3C">
              <w:rPr>
                <w:sz w:val="14"/>
                <w:szCs w:val="14"/>
              </w:rPr>
              <w:t>3,9</w:t>
            </w:r>
          </w:p>
        </w:tc>
      </w:tr>
      <w:tr w:rsidR="00E12C3C" w:rsidRPr="00E12C3C" w:rsidTr="00E12C3C">
        <w:trPr>
          <w:trHeight w:val="259"/>
        </w:trPr>
        <w:tc>
          <w:tcPr>
            <w:tcW w:w="1146" w:type="pct"/>
            <w:tcBorders>
              <w:left w:val="nil"/>
              <w:bottom w:val="single" w:sz="8" w:space="0" w:color="auto"/>
              <w:right w:val="nil"/>
            </w:tcBorders>
            <w:shd w:val="clear" w:color="auto" w:fill="E9EFEC"/>
            <w:noWrap/>
            <w:tcMar>
              <w:top w:w="0" w:type="dxa"/>
              <w:left w:w="70" w:type="dxa"/>
              <w:bottom w:w="0" w:type="dxa"/>
              <w:right w:w="70" w:type="dxa"/>
            </w:tcMar>
            <w:vAlign w:val="center"/>
            <w:hideMark/>
          </w:tcPr>
          <w:p w:rsidR="00E12C3C" w:rsidRPr="00E12C3C" w:rsidRDefault="00E12C3C" w:rsidP="00E12C3C">
            <w:pPr>
              <w:spacing w:after="0"/>
              <w:rPr>
                <w:rFonts w:cs="Arial"/>
                <w:b/>
                <w:color w:val="000000"/>
                <w:sz w:val="14"/>
                <w:szCs w:val="14"/>
                <w:lang w:eastAsia="da-DK"/>
              </w:rPr>
            </w:pPr>
            <w:r w:rsidRPr="00E12C3C">
              <w:rPr>
                <w:rFonts w:cs="Arial"/>
                <w:b/>
                <w:color w:val="000000"/>
                <w:sz w:val="14"/>
                <w:szCs w:val="14"/>
                <w:lang w:eastAsia="da-DK"/>
              </w:rPr>
              <w:t>Hele landet</w:t>
            </w:r>
          </w:p>
        </w:tc>
        <w:tc>
          <w:tcPr>
            <w:tcW w:w="960" w:type="pct"/>
            <w:tcBorders>
              <w:left w:val="nil"/>
              <w:bottom w:val="single" w:sz="8" w:space="0" w:color="auto"/>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b/>
                <w:color w:val="000000"/>
                <w:sz w:val="14"/>
                <w:szCs w:val="14"/>
                <w:lang w:eastAsia="da-DK"/>
              </w:rPr>
            </w:pPr>
          </w:p>
        </w:tc>
        <w:tc>
          <w:tcPr>
            <w:tcW w:w="988" w:type="pct"/>
            <w:tcBorders>
              <w:left w:val="nil"/>
              <w:bottom w:val="single" w:sz="8" w:space="0" w:color="auto"/>
              <w:right w:val="nil"/>
            </w:tcBorders>
            <w:shd w:val="clear" w:color="auto" w:fill="E9EFEC"/>
            <w:noWrap/>
            <w:tcMar>
              <w:top w:w="0" w:type="dxa"/>
              <w:left w:w="70" w:type="dxa"/>
              <w:bottom w:w="0" w:type="dxa"/>
              <w:right w:w="70" w:type="dxa"/>
            </w:tcMar>
            <w:vAlign w:val="center"/>
          </w:tcPr>
          <w:p w:rsidR="00E12C3C" w:rsidRPr="00E12C3C" w:rsidRDefault="00E12C3C" w:rsidP="00E12C3C">
            <w:pPr>
              <w:spacing w:after="0"/>
              <w:rPr>
                <w:rFonts w:cs="Arial"/>
                <w:b/>
                <w:color w:val="000000"/>
                <w:sz w:val="14"/>
                <w:szCs w:val="14"/>
                <w:lang w:eastAsia="da-DK"/>
              </w:rPr>
            </w:pPr>
          </w:p>
        </w:tc>
        <w:tc>
          <w:tcPr>
            <w:tcW w:w="954" w:type="pct"/>
            <w:tcBorders>
              <w:left w:val="nil"/>
              <w:bottom w:val="single" w:sz="8" w:space="0" w:color="auto"/>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jc w:val="right"/>
              <w:rPr>
                <w:b/>
                <w:sz w:val="14"/>
                <w:szCs w:val="14"/>
              </w:rPr>
            </w:pPr>
            <w:r>
              <w:rPr>
                <w:b/>
                <w:sz w:val="14"/>
                <w:szCs w:val="14"/>
              </w:rPr>
              <w:t>-</w:t>
            </w:r>
            <w:r w:rsidR="00E12C3C" w:rsidRPr="00E12C3C">
              <w:rPr>
                <w:b/>
                <w:sz w:val="14"/>
                <w:szCs w:val="14"/>
              </w:rPr>
              <w:t>341,8</w:t>
            </w:r>
          </w:p>
        </w:tc>
        <w:tc>
          <w:tcPr>
            <w:tcW w:w="952" w:type="pct"/>
            <w:tcBorders>
              <w:left w:val="nil"/>
              <w:bottom w:val="single" w:sz="8" w:space="0" w:color="auto"/>
              <w:right w:val="nil"/>
            </w:tcBorders>
            <w:shd w:val="clear" w:color="auto" w:fill="E9EFEC"/>
            <w:noWrap/>
            <w:tcMar>
              <w:top w:w="0" w:type="dxa"/>
              <w:left w:w="70" w:type="dxa"/>
              <w:bottom w:w="0" w:type="dxa"/>
              <w:right w:w="70" w:type="dxa"/>
            </w:tcMar>
            <w:vAlign w:val="center"/>
            <w:hideMark/>
          </w:tcPr>
          <w:p w:rsidR="00E12C3C" w:rsidRPr="00E12C3C" w:rsidRDefault="002024CF" w:rsidP="00E12C3C">
            <w:pPr>
              <w:spacing w:after="0"/>
              <w:jc w:val="right"/>
              <w:rPr>
                <w:b/>
                <w:sz w:val="14"/>
                <w:szCs w:val="14"/>
              </w:rPr>
            </w:pPr>
            <w:r>
              <w:rPr>
                <w:b/>
                <w:sz w:val="14"/>
                <w:szCs w:val="14"/>
              </w:rPr>
              <w:t>-</w:t>
            </w:r>
            <w:r w:rsidR="00E12C3C" w:rsidRPr="00E12C3C">
              <w:rPr>
                <w:b/>
                <w:sz w:val="14"/>
                <w:szCs w:val="14"/>
              </w:rPr>
              <w:t>277,6</w:t>
            </w:r>
          </w:p>
        </w:tc>
      </w:tr>
      <w:tr w:rsidR="00E12C3C" w:rsidRPr="006B629C" w:rsidTr="00483EBC">
        <w:trPr>
          <w:trHeight w:val="188"/>
        </w:trPr>
        <w:tc>
          <w:tcPr>
            <w:tcW w:w="5000" w:type="pct"/>
            <w:gridSpan w:val="5"/>
            <w:tcBorders>
              <w:top w:val="nil"/>
              <w:left w:val="nil"/>
              <w:bottom w:val="single" w:sz="12" w:space="0" w:color="auto"/>
              <w:right w:val="nil"/>
            </w:tcBorders>
            <w:shd w:val="clear" w:color="auto" w:fill="E9EFEC"/>
            <w:noWrap/>
            <w:tcMar>
              <w:top w:w="0" w:type="dxa"/>
              <w:left w:w="70" w:type="dxa"/>
              <w:bottom w:w="0" w:type="dxa"/>
              <w:right w:w="70" w:type="dxa"/>
            </w:tcMar>
            <w:vAlign w:val="bottom"/>
            <w:hideMark/>
          </w:tcPr>
          <w:p w:rsidR="00E12C3C" w:rsidRPr="006B629C" w:rsidRDefault="00E12C3C" w:rsidP="00483EBC">
            <w:pPr>
              <w:spacing w:after="0"/>
              <w:rPr>
                <w:rFonts w:cs="Arial"/>
                <w:color w:val="000000"/>
                <w:sz w:val="12"/>
                <w:szCs w:val="12"/>
                <w:lang w:eastAsia="da-DK"/>
              </w:rPr>
            </w:pPr>
            <w:r w:rsidRPr="006B745D">
              <w:rPr>
                <w:rFonts w:cs="Arial"/>
                <w:color w:val="000000"/>
                <w:sz w:val="12"/>
                <w:szCs w:val="12"/>
                <w:lang w:eastAsia="da-DK"/>
              </w:rPr>
              <w:t>Kilde: Sundheds- og Ældreministeriet</w:t>
            </w:r>
          </w:p>
        </w:tc>
      </w:tr>
    </w:tbl>
    <w:p w:rsidR="00E12C3C" w:rsidRDefault="00E12C3C" w:rsidP="002024CF">
      <w:pPr>
        <w:spacing w:after="0"/>
        <w:jc w:val="both"/>
        <w:rPr>
          <w:rFonts w:ascii="Garamond" w:hAnsi="Garamond"/>
          <w:sz w:val="24"/>
          <w:szCs w:val="24"/>
        </w:rPr>
      </w:pPr>
    </w:p>
    <w:p w:rsidR="003B5520" w:rsidRPr="0013078E" w:rsidRDefault="003B5520" w:rsidP="0017212C">
      <w:pPr>
        <w:spacing w:after="0"/>
        <w:jc w:val="both"/>
        <w:rPr>
          <w:rFonts w:ascii="Garamond" w:hAnsi="Garamond"/>
          <w:sz w:val="24"/>
          <w:szCs w:val="24"/>
        </w:rPr>
      </w:pPr>
      <w:r>
        <w:rPr>
          <w:rFonts w:ascii="Garamond" w:hAnsi="Garamond"/>
          <w:sz w:val="24"/>
          <w:szCs w:val="24"/>
        </w:rPr>
        <w:t>Denne</w:t>
      </w:r>
      <w:r w:rsidRPr="00132751">
        <w:rPr>
          <w:rFonts w:ascii="Garamond" w:hAnsi="Garamond"/>
          <w:sz w:val="24"/>
          <w:szCs w:val="24"/>
        </w:rPr>
        <w:t xml:space="preserve"> tekniske uhensigtsmæssighed </w:t>
      </w:r>
      <w:r>
        <w:rPr>
          <w:rFonts w:ascii="Garamond" w:hAnsi="Garamond"/>
          <w:sz w:val="24"/>
          <w:szCs w:val="24"/>
        </w:rPr>
        <w:t>kan fjernes ved, at betalingsmetoden ændres, så</w:t>
      </w:r>
      <w:r w:rsidRPr="00132751">
        <w:rPr>
          <w:rFonts w:ascii="Garamond" w:hAnsi="Garamond"/>
          <w:sz w:val="24"/>
          <w:szCs w:val="24"/>
        </w:rPr>
        <w:t xml:space="preserve"> </w:t>
      </w:r>
      <w:r w:rsidRPr="0013078E">
        <w:rPr>
          <w:rFonts w:ascii="Garamond" w:hAnsi="Garamond"/>
          <w:sz w:val="24"/>
          <w:szCs w:val="24"/>
        </w:rPr>
        <w:t xml:space="preserve">kommunerne betaler KMF på baggrund af hvert sammenhængende forløb inden for den enkelte region. Dvs. kommunerne betaler pr. regionsudskrivning i stedet for pr. sygehusudskrivning. </w:t>
      </w:r>
    </w:p>
    <w:p w:rsidR="003B5520" w:rsidRPr="0013078E" w:rsidRDefault="003B5520" w:rsidP="003B5520">
      <w:pPr>
        <w:spacing w:after="0"/>
        <w:jc w:val="both"/>
        <w:rPr>
          <w:rFonts w:ascii="Garamond" w:hAnsi="Garamond"/>
          <w:sz w:val="24"/>
          <w:szCs w:val="24"/>
        </w:rPr>
      </w:pPr>
    </w:p>
    <w:p w:rsidR="003B5520" w:rsidRPr="00195791" w:rsidRDefault="003B5520" w:rsidP="003B5520">
      <w:pPr>
        <w:spacing w:after="0"/>
        <w:jc w:val="both"/>
        <w:rPr>
          <w:rFonts w:ascii="Garamond" w:hAnsi="Garamond"/>
          <w:i/>
          <w:sz w:val="24"/>
          <w:szCs w:val="24"/>
        </w:rPr>
      </w:pPr>
      <w:r w:rsidRPr="0013078E">
        <w:rPr>
          <w:rFonts w:ascii="Garamond" w:hAnsi="Garamond"/>
          <w:i/>
          <w:sz w:val="24"/>
          <w:szCs w:val="24"/>
        </w:rPr>
        <w:t>Økonomiske konsekvenser for kommunerne</w:t>
      </w:r>
      <w:r>
        <w:rPr>
          <w:rFonts w:ascii="Garamond" w:hAnsi="Garamond"/>
          <w:i/>
          <w:sz w:val="24"/>
          <w:szCs w:val="24"/>
        </w:rPr>
        <w:t xml:space="preserve"> af en ændret betalingsmetode</w:t>
      </w:r>
    </w:p>
    <w:p w:rsidR="003B5520" w:rsidRDefault="003B5520" w:rsidP="003B5520">
      <w:pPr>
        <w:jc w:val="both"/>
        <w:rPr>
          <w:rFonts w:ascii="Garamond" w:hAnsi="Garamond"/>
          <w:sz w:val="24"/>
          <w:szCs w:val="24"/>
        </w:rPr>
      </w:pPr>
      <w:r>
        <w:rPr>
          <w:rFonts w:ascii="Garamond" w:hAnsi="Garamond"/>
          <w:sz w:val="24"/>
          <w:szCs w:val="24"/>
        </w:rPr>
        <w:t xml:space="preserve">Ændringen af den beregningsmetoden vil have betydning for </w:t>
      </w:r>
      <w:r w:rsidRPr="00195791">
        <w:rPr>
          <w:rFonts w:ascii="Garamond" w:hAnsi="Garamond"/>
          <w:sz w:val="24"/>
          <w:szCs w:val="24"/>
        </w:rPr>
        <w:t xml:space="preserve">de kommuner med overflytning af patienter mellem </w:t>
      </w:r>
      <w:r>
        <w:rPr>
          <w:rFonts w:ascii="Garamond" w:hAnsi="Garamond"/>
          <w:sz w:val="24"/>
          <w:szCs w:val="24"/>
        </w:rPr>
        <w:t xml:space="preserve">sygehuse eller afdelinger og </w:t>
      </w:r>
      <w:r w:rsidRPr="00132751">
        <w:rPr>
          <w:rFonts w:ascii="Garamond" w:hAnsi="Garamond"/>
          <w:sz w:val="24"/>
          <w:szCs w:val="24"/>
        </w:rPr>
        <w:t xml:space="preserve">giver anledning til en omfordelingseffekt mellem kommunerne. </w:t>
      </w:r>
      <w:r>
        <w:rPr>
          <w:rFonts w:ascii="Garamond" w:hAnsi="Garamond"/>
          <w:sz w:val="24"/>
          <w:szCs w:val="24"/>
        </w:rPr>
        <w:t>Æ</w:t>
      </w:r>
      <w:r w:rsidRPr="00195791">
        <w:rPr>
          <w:rFonts w:ascii="Garamond" w:hAnsi="Garamond"/>
          <w:sz w:val="24"/>
          <w:szCs w:val="24"/>
        </w:rPr>
        <w:t>ndringen</w:t>
      </w:r>
      <w:r>
        <w:rPr>
          <w:rFonts w:ascii="Garamond" w:hAnsi="Garamond"/>
          <w:sz w:val="24"/>
          <w:szCs w:val="24"/>
        </w:rPr>
        <w:t xml:space="preserve"> </w:t>
      </w:r>
      <w:r w:rsidRPr="00195791">
        <w:rPr>
          <w:rFonts w:ascii="Garamond" w:hAnsi="Garamond"/>
          <w:sz w:val="24"/>
          <w:szCs w:val="24"/>
        </w:rPr>
        <w:t xml:space="preserve">vil slå igennem på de reelle KMF-udgifter, som de enkelte kommuner afholder. </w:t>
      </w:r>
    </w:p>
    <w:p w:rsidR="00BE642B" w:rsidRPr="006B745D" w:rsidRDefault="00BE642B" w:rsidP="003B5520">
      <w:pPr>
        <w:jc w:val="both"/>
        <w:rPr>
          <w:sz w:val="24"/>
          <w:szCs w:val="24"/>
        </w:rPr>
      </w:pPr>
      <w:r w:rsidRPr="006B745D">
        <w:rPr>
          <w:rFonts w:ascii="Garamond" w:hAnsi="Garamond"/>
          <w:sz w:val="24"/>
          <w:szCs w:val="24"/>
        </w:rPr>
        <w:t>Der er beregnet gevinst for især kommunerne i Region Hovedstaden (55,3 mio.kr, svarende til 0,01 pct. af beskatningsgrundlag), mens kommunerne i Region Sjælland oplever tab (46,7 mio.kr, svarende til 0,03 pct. af beskatningsgrundlag)</w:t>
      </w:r>
      <w:r w:rsidRPr="006B745D">
        <w:rPr>
          <w:rFonts w:ascii="Garamond" w:hAnsi="Garamond"/>
          <w:i/>
          <w:sz w:val="24"/>
          <w:szCs w:val="24"/>
        </w:rPr>
        <w:t xml:space="preserve">, jf. tabel </w:t>
      </w:r>
      <w:r w:rsidR="002024CF">
        <w:rPr>
          <w:rFonts w:ascii="Garamond" w:hAnsi="Garamond"/>
          <w:i/>
          <w:sz w:val="24"/>
          <w:szCs w:val="24"/>
        </w:rPr>
        <w:t>5</w:t>
      </w:r>
      <w:r w:rsidRPr="006B745D">
        <w:rPr>
          <w:rFonts w:ascii="Garamond" w:hAnsi="Garamond"/>
          <w:i/>
          <w:sz w:val="24"/>
          <w:szCs w:val="24"/>
        </w:rPr>
        <w:t>.</w:t>
      </w:r>
      <w:r w:rsidR="002024CF">
        <w:rPr>
          <w:rFonts w:ascii="Garamond" w:hAnsi="Garamond"/>
          <w:i/>
          <w:sz w:val="24"/>
          <w:szCs w:val="24"/>
        </w:rPr>
        <w:t>3</w:t>
      </w:r>
      <w:r w:rsidRPr="006B745D">
        <w:rPr>
          <w:rFonts w:ascii="Garamond" w:hAnsi="Garamond"/>
          <w:sz w:val="24"/>
          <w:szCs w:val="24"/>
        </w:rPr>
        <w:t>.</w:t>
      </w:r>
      <w:r w:rsidRPr="006B745D">
        <w:rPr>
          <w:sz w:val="24"/>
          <w:szCs w:val="24"/>
        </w:rPr>
        <w:t xml:space="preserve"> </w:t>
      </w:r>
    </w:p>
    <w:p w:rsidR="00BE642B" w:rsidRPr="006B745D" w:rsidRDefault="00BE642B" w:rsidP="003B5520">
      <w:pPr>
        <w:jc w:val="both"/>
        <w:rPr>
          <w:rFonts w:ascii="Garamond" w:hAnsi="Garamond"/>
          <w:sz w:val="24"/>
          <w:szCs w:val="24"/>
        </w:rPr>
      </w:pPr>
      <w:r w:rsidRPr="00C06E9F">
        <w:rPr>
          <w:rFonts w:ascii="Garamond" w:hAnsi="Garamond"/>
          <w:sz w:val="24"/>
          <w:szCs w:val="24"/>
        </w:rPr>
        <w:t>Udfaldet kan begrundes med, at kommunerne i Region Hovedstaden har flere overflytninger af patienter mellem sygehuse fx Herlev og Gentofte Sygehus og dermed større udgift, grundet dobbeltbetaling for en behandling. Derudover bruger kommunerne i Region Sjælland allerede et sygehusnummer for samtlige</w:t>
      </w:r>
      <w:r w:rsidRPr="006B745D">
        <w:rPr>
          <w:rFonts w:ascii="Garamond" w:hAnsi="Garamond"/>
          <w:sz w:val="24"/>
          <w:szCs w:val="24"/>
        </w:rPr>
        <w:t xml:space="preserve"> sygehuse i regionen, hvorved der ikke afregnes for overflytninger overfor kommuner i den region.</w:t>
      </w:r>
    </w:p>
    <w:tbl>
      <w:tblPr>
        <w:tblStyle w:val="Tabel-Gitter"/>
        <w:tblW w:w="7762" w:type="dxa"/>
        <w:tblInd w:w="108" w:type="dxa"/>
        <w:tblBorders>
          <w:top w:val="single" w:sz="12" w:space="0" w:color="auto"/>
          <w:left w:val="none" w:sz="0" w:space="0" w:color="auto"/>
          <w:bottom w:val="single" w:sz="12" w:space="0" w:color="auto"/>
          <w:right w:val="none" w:sz="0" w:space="0" w:color="auto"/>
        </w:tblBorders>
        <w:shd w:val="clear" w:color="auto" w:fill="E9EFEC"/>
        <w:tblLayout w:type="fixed"/>
        <w:tblLook w:val="04A0" w:firstRow="1" w:lastRow="0" w:firstColumn="1" w:lastColumn="0" w:noHBand="0" w:noVBand="1"/>
      </w:tblPr>
      <w:tblGrid>
        <w:gridCol w:w="3686"/>
        <w:gridCol w:w="4076"/>
      </w:tblGrid>
      <w:tr w:rsidR="003B5520" w:rsidTr="00DF14EC">
        <w:tc>
          <w:tcPr>
            <w:tcW w:w="3686" w:type="dxa"/>
            <w:shd w:val="clear" w:color="auto" w:fill="E9EFEC"/>
          </w:tcPr>
          <w:p w:rsidR="003B5520" w:rsidRDefault="00BE642B" w:rsidP="00DF14EC">
            <w:pPr>
              <w:spacing w:line="240" w:lineRule="auto"/>
              <w:jc w:val="both"/>
              <w:rPr>
                <w:rFonts w:ascii="Calibri" w:hAnsi="Calibri"/>
                <w:b/>
                <w:sz w:val="16"/>
              </w:rPr>
            </w:pPr>
            <w:r>
              <w:rPr>
                <w:rFonts w:ascii="Garamond" w:hAnsi="Garamond"/>
                <w:color w:val="000000"/>
              </w:rPr>
              <w:br w:type="page"/>
            </w:r>
            <w:r w:rsidR="003B5520">
              <w:br w:type="page"/>
            </w:r>
            <w:r w:rsidR="003B5520">
              <w:rPr>
                <w:rFonts w:ascii="Calibri" w:hAnsi="Calibri"/>
                <w:b/>
                <w:sz w:val="16"/>
              </w:rPr>
              <w:t xml:space="preserve">Figur </w:t>
            </w:r>
            <w:r w:rsidR="002024CF">
              <w:rPr>
                <w:rFonts w:ascii="Calibri" w:hAnsi="Calibri"/>
                <w:b/>
                <w:sz w:val="16"/>
              </w:rPr>
              <w:t>5</w:t>
            </w:r>
            <w:r w:rsidR="003B5520">
              <w:rPr>
                <w:rFonts w:ascii="Calibri" w:hAnsi="Calibri"/>
                <w:b/>
                <w:sz w:val="16"/>
              </w:rPr>
              <w:t>.</w:t>
            </w:r>
            <w:r w:rsidR="002024CF">
              <w:rPr>
                <w:rFonts w:ascii="Calibri" w:hAnsi="Calibri"/>
                <w:b/>
                <w:sz w:val="16"/>
              </w:rPr>
              <w:t>2</w:t>
            </w:r>
          </w:p>
          <w:p w:rsidR="003B5520" w:rsidRPr="000C2714" w:rsidRDefault="003B5520" w:rsidP="00DF14EC">
            <w:pPr>
              <w:spacing w:line="240" w:lineRule="auto"/>
              <w:jc w:val="both"/>
              <w:rPr>
                <w:rFonts w:ascii="Calibri" w:hAnsi="Calibri"/>
                <w:b/>
                <w:sz w:val="16"/>
              </w:rPr>
            </w:pPr>
            <w:r w:rsidRPr="00AD1927">
              <w:rPr>
                <w:rFonts w:ascii="Calibri" w:hAnsi="Calibri"/>
                <w:b/>
                <w:sz w:val="16"/>
              </w:rPr>
              <w:t xml:space="preserve">Økonomiske konsekvenser for kommunerne af </w:t>
            </w:r>
            <w:r>
              <w:rPr>
                <w:rFonts w:ascii="Calibri" w:hAnsi="Calibri"/>
                <w:b/>
                <w:sz w:val="16"/>
              </w:rPr>
              <w:t xml:space="preserve">en </w:t>
            </w:r>
            <w:r w:rsidRPr="00AD1927">
              <w:rPr>
                <w:rFonts w:ascii="Calibri" w:hAnsi="Calibri"/>
                <w:b/>
                <w:sz w:val="16"/>
              </w:rPr>
              <w:t>ændr</w:t>
            </w:r>
            <w:r w:rsidR="006B745D">
              <w:rPr>
                <w:rFonts w:ascii="Calibri" w:hAnsi="Calibri"/>
                <w:b/>
                <w:sz w:val="16"/>
              </w:rPr>
              <w:t>et betalingsmetode, 2014</w:t>
            </w:r>
          </w:p>
        </w:tc>
        <w:tc>
          <w:tcPr>
            <w:tcW w:w="4076" w:type="dxa"/>
            <w:shd w:val="clear" w:color="auto" w:fill="E9EFEC"/>
          </w:tcPr>
          <w:p w:rsidR="003B5520" w:rsidRPr="000C2714" w:rsidRDefault="003B5520" w:rsidP="002024CF">
            <w:pPr>
              <w:spacing w:line="240" w:lineRule="auto"/>
              <w:rPr>
                <w:rFonts w:ascii="Calibri" w:hAnsi="Calibri"/>
                <w:b/>
                <w:sz w:val="16"/>
              </w:rPr>
            </w:pPr>
            <w:r>
              <w:rPr>
                <w:rFonts w:ascii="Calibri" w:hAnsi="Calibri"/>
                <w:b/>
                <w:sz w:val="16"/>
              </w:rPr>
              <w:t xml:space="preserve">Tabel </w:t>
            </w:r>
            <w:r w:rsidR="002024CF">
              <w:rPr>
                <w:rFonts w:ascii="Calibri" w:hAnsi="Calibri"/>
                <w:b/>
                <w:sz w:val="16"/>
              </w:rPr>
              <w:t>5</w:t>
            </w:r>
            <w:r>
              <w:rPr>
                <w:rFonts w:ascii="Calibri" w:hAnsi="Calibri"/>
                <w:b/>
                <w:sz w:val="16"/>
              </w:rPr>
              <w:t>.</w:t>
            </w:r>
            <w:r w:rsidR="002024CF">
              <w:rPr>
                <w:rFonts w:ascii="Calibri" w:hAnsi="Calibri"/>
                <w:b/>
                <w:sz w:val="16"/>
              </w:rPr>
              <w:t>3</w:t>
            </w:r>
            <w:r w:rsidRPr="000C2714">
              <w:rPr>
                <w:rFonts w:ascii="Calibri" w:hAnsi="Calibri"/>
                <w:b/>
                <w:sz w:val="16"/>
              </w:rPr>
              <w:br/>
            </w:r>
            <w:r w:rsidRPr="00AD1927">
              <w:rPr>
                <w:rFonts w:ascii="Calibri" w:hAnsi="Calibri"/>
                <w:b/>
                <w:sz w:val="16"/>
              </w:rPr>
              <w:t>Økonomiske konsekvenser for kommunerne</w:t>
            </w:r>
            <w:r>
              <w:rPr>
                <w:rFonts w:ascii="Calibri" w:hAnsi="Calibri"/>
                <w:b/>
                <w:sz w:val="16"/>
              </w:rPr>
              <w:t xml:space="preserve"> </w:t>
            </w:r>
            <w:r w:rsidRPr="00AD1927">
              <w:rPr>
                <w:rFonts w:ascii="Calibri" w:hAnsi="Calibri"/>
                <w:b/>
                <w:sz w:val="16"/>
              </w:rPr>
              <w:t xml:space="preserve">af </w:t>
            </w:r>
            <w:r>
              <w:rPr>
                <w:rFonts w:ascii="Calibri" w:hAnsi="Calibri"/>
                <w:b/>
                <w:sz w:val="16"/>
              </w:rPr>
              <w:t xml:space="preserve">en </w:t>
            </w:r>
            <w:r w:rsidRPr="00AD1927">
              <w:rPr>
                <w:rFonts w:ascii="Calibri" w:hAnsi="Calibri"/>
                <w:b/>
                <w:sz w:val="16"/>
              </w:rPr>
              <w:t>ændr</w:t>
            </w:r>
            <w:r>
              <w:rPr>
                <w:rFonts w:ascii="Calibri" w:hAnsi="Calibri"/>
                <w:b/>
                <w:sz w:val="16"/>
              </w:rPr>
              <w:t xml:space="preserve">et betalingsmetode, </w:t>
            </w:r>
            <w:r w:rsidR="006B745D">
              <w:rPr>
                <w:rFonts w:ascii="Calibri" w:hAnsi="Calibri"/>
                <w:b/>
                <w:sz w:val="16"/>
              </w:rPr>
              <w:t xml:space="preserve">2014 og 2015, </w:t>
            </w:r>
            <w:r>
              <w:rPr>
                <w:rFonts w:ascii="Calibri" w:hAnsi="Calibri"/>
                <w:b/>
                <w:sz w:val="16"/>
              </w:rPr>
              <w:t>regionsfordelt</w:t>
            </w:r>
          </w:p>
        </w:tc>
      </w:tr>
      <w:tr w:rsidR="003B5520" w:rsidTr="00DF14EC">
        <w:trPr>
          <w:trHeight w:val="3763"/>
        </w:trPr>
        <w:tc>
          <w:tcPr>
            <w:tcW w:w="3686" w:type="dxa"/>
            <w:shd w:val="clear" w:color="auto" w:fill="E9EFEC"/>
          </w:tcPr>
          <w:p w:rsidR="003B5520" w:rsidRPr="000C2714" w:rsidRDefault="003B5520" w:rsidP="00DF14EC">
            <w:pPr>
              <w:jc w:val="both"/>
              <w:rPr>
                <w:rFonts w:ascii="Calibri" w:hAnsi="Calibri"/>
                <w:sz w:val="14"/>
              </w:rPr>
            </w:pPr>
            <w:r>
              <w:rPr>
                <w:rFonts w:ascii="Calibri" w:hAnsi="Calibri"/>
                <w:noProof/>
                <w:sz w:val="14"/>
              </w:rPr>
              <w:drawing>
                <wp:inline distT="0" distB="0" distL="0" distR="0" wp14:anchorId="47B37A6D" wp14:editId="4B6C840F">
                  <wp:extent cx="1897107" cy="2592000"/>
                  <wp:effectExtent l="0" t="0" r="825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ste_KMF_regionsudskrivnin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7107" cy="2592000"/>
                          </a:xfrm>
                          <a:prstGeom prst="rect">
                            <a:avLst/>
                          </a:prstGeom>
                        </pic:spPr>
                      </pic:pic>
                    </a:graphicData>
                  </a:graphic>
                </wp:inline>
              </w:drawing>
            </w:r>
          </w:p>
        </w:tc>
        <w:tc>
          <w:tcPr>
            <w:tcW w:w="4076" w:type="dxa"/>
            <w:shd w:val="clear" w:color="auto" w:fill="E9EFEC"/>
          </w:tcPr>
          <w:tbl>
            <w:tblPr>
              <w:tblpPr w:leftFromText="141" w:rightFromText="141" w:vertAnchor="text" w:horzAnchor="margin" w:tblpY="-149"/>
              <w:tblOverlap w:val="never"/>
              <w:tblW w:w="3969" w:type="dxa"/>
              <w:tblLayout w:type="fixed"/>
              <w:tblCellMar>
                <w:left w:w="70" w:type="dxa"/>
                <w:right w:w="70" w:type="dxa"/>
              </w:tblCellMar>
              <w:tblLook w:val="04A0" w:firstRow="1" w:lastRow="0" w:firstColumn="1" w:lastColumn="0" w:noHBand="0" w:noVBand="1"/>
            </w:tblPr>
            <w:tblGrid>
              <w:gridCol w:w="1701"/>
              <w:gridCol w:w="993"/>
              <w:gridCol w:w="1275"/>
            </w:tblGrid>
            <w:tr w:rsidR="00BD5DDA" w:rsidRPr="001B56A0" w:rsidTr="00073EEF">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BD5DDA">
                  <w:pPr>
                    <w:spacing w:after="0" w:line="240" w:lineRule="auto"/>
                    <w:jc w:val="both"/>
                    <w:rPr>
                      <w:rFonts w:cs="Arial"/>
                      <w:color w:val="000000"/>
                      <w:sz w:val="12"/>
                      <w:szCs w:val="12"/>
                      <w:lang w:eastAsia="da-DK"/>
                    </w:rPr>
                  </w:pPr>
                </w:p>
              </w:tc>
              <w:tc>
                <w:tcPr>
                  <w:tcW w:w="993" w:type="dxa"/>
                  <w:tcBorders>
                    <w:top w:val="nil"/>
                    <w:left w:val="nil"/>
                    <w:bottom w:val="single" w:sz="4" w:space="0" w:color="E9EFEC"/>
                  </w:tcBorders>
                  <w:shd w:val="clear" w:color="000000" w:fill="E9EFEC"/>
                  <w:noWrap/>
                  <w:vAlign w:val="center"/>
                  <w:hideMark/>
                </w:tcPr>
                <w:p w:rsidR="00BD5DDA" w:rsidRPr="00BD5DDA" w:rsidRDefault="00BD5DDA" w:rsidP="00BD5DDA">
                  <w:pPr>
                    <w:spacing w:after="0" w:line="240" w:lineRule="auto"/>
                    <w:jc w:val="center"/>
                    <w:rPr>
                      <w:rFonts w:cs="Arial"/>
                      <w:i/>
                      <w:color w:val="000000"/>
                      <w:sz w:val="12"/>
                      <w:szCs w:val="12"/>
                      <w:lang w:eastAsia="da-DK"/>
                    </w:rPr>
                  </w:pPr>
                  <w:r w:rsidRPr="00BD5DDA">
                    <w:rPr>
                      <w:rFonts w:cs="Arial"/>
                      <w:i/>
                      <w:color w:val="000000"/>
                      <w:sz w:val="12"/>
                      <w:szCs w:val="12"/>
                      <w:lang w:eastAsia="da-DK"/>
                    </w:rPr>
                    <w:t>2014</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i/>
                      <w:color w:val="000000"/>
                      <w:sz w:val="12"/>
                      <w:szCs w:val="12"/>
                      <w:lang w:eastAsia="da-DK"/>
                    </w:rPr>
                  </w:pPr>
                  <w:r w:rsidRPr="00BD5DDA">
                    <w:rPr>
                      <w:rFonts w:cs="Arial"/>
                      <w:i/>
                      <w:color w:val="000000"/>
                      <w:sz w:val="12"/>
                      <w:szCs w:val="12"/>
                      <w:lang w:eastAsia="da-DK"/>
                    </w:rPr>
                    <w:t>2015</w:t>
                  </w:r>
                </w:p>
              </w:tc>
            </w:tr>
            <w:tr w:rsidR="00BD5DDA" w:rsidRPr="001B56A0" w:rsidTr="00BD5DDA">
              <w:trPr>
                <w:trHeight w:val="235"/>
              </w:trPr>
              <w:tc>
                <w:tcPr>
                  <w:tcW w:w="2694" w:type="dxa"/>
                  <w:gridSpan w:val="2"/>
                  <w:tcBorders>
                    <w:top w:val="single" w:sz="4" w:space="0" w:color="auto"/>
                    <w:left w:val="nil"/>
                    <w:bottom w:val="nil"/>
                  </w:tcBorders>
                  <w:shd w:val="clear" w:color="000000" w:fill="E9EFEC"/>
                  <w:noWrap/>
                  <w:vAlign w:val="center"/>
                  <w:hideMark/>
                </w:tcPr>
                <w:p w:rsidR="00BD5DDA" w:rsidRDefault="00BD5DDA" w:rsidP="00BD5DDA">
                  <w:pPr>
                    <w:spacing w:after="0" w:line="240" w:lineRule="auto"/>
                    <w:jc w:val="both"/>
                    <w:rPr>
                      <w:rFonts w:cs="Arial"/>
                      <w:i/>
                      <w:iCs/>
                      <w:color w:val="000000"/>
                      <w:sz w:val="12"/>
                      <w:szCs w:val="12"/>
                      <w:lang w:eastAsia="da-DK"/>
                    </w:rPr>
                  </w:pPr>
                  <w:r w:rsidRPr="00CE4D6E">
                    <w:rPr>
                      <w:rFonts w:cs="Arial"/>
                      <w:i/>
                      <w:color w:val="000000"/>
                      <w:sz w:val="12"/>
                      <w:szCs w:val="12"/>
                      <w:lang w:eastAsia="da-DK"/>
                    </w:rPr>
                    <w:t xml:space="preserve">Beregnet </w:t>
                  </w:r>
                  <w:r w:rsidR="00B0298D">
                    <w:rPr>
                      <w:rFonts w:cs="Arial"/>
                      <w:i/>
                      <w:color w:val="000000"/>
                      <w:sz w:val="12"/>
                      <w:szCs w:val="12"/>
                      <w:lang w:eastAsia="da-DK"/>
                    </w:rPr>
                    <w:t>ændring</w:t>
                  </w:r>
                  <w:r>
                    <w:rPr>
                      <w:rFonts w:cs="Arial"/>
                      <w:i/>
                      <w:color w:val="000000"/>
                      <w:sz w:val="12"/>
                      <w:szCs w:val="12"/>
                      <w:lang w:eastAsia="da-DK"/>
                    </w:rPr>
                    <w:t xml:space="preserve"> (</w:t>
                  </w:r>
                  <w:r w:rsidRPr="001B56A0">
                    <w:rPr>
                      <w:rFonts w:cs="Arial"/>
                      <w:i/>
                      <w:iCs/>
                      <w:color w:val="000000"/>
                      <w:sz w:val="12"/>
                      <w:szCs w:val="12"/>
                      <w:lang w:eastAsia="da-DK"/>
                    </w:rPr>
                    <w:t>Mio. kr.</w:t>
                  </w:r>
                  <w:r>
                    <w:rPr>
                      <w:rFonts w:cs="Arial"/>
                      <w:i/>
                      <w:iCs/>
                      <w:color w:val="000000"/>
                      <w:sz w:val="12"/>
                      <w:szCs w:val="12"/>
                      <w:lang w:eastAsia="da-DK"/>
                    </w:rPr>
                    <w:t>)</w:t>
                  </w:r>
                </w:p>
                <w:p w:rsidR="00B0298D" w:rsidRPr="00CE4D6E" w:rsidRDefault="00B0298D" w:rsidP="00BD5DDA">
                  <w:pPr>
                    <w:spacing w:after="0" w:line="240" w:lineRule="auto"/>
                    <w:jc w:val="both"/>
                    <w:rPr>
                      <w:rFonts w:cs="Arial"/>
                      <w:i/>
                      <w:iCs/>
                      <w:color w:val="000000"/>
                      <w:sz w:val="12"/>
                      <w:szCs w:val="12"/>
                      <w:lang w:eastAsia="da-DK"/>
                    </w:rPr>
                  </w:pPr>
                  <w:r w:rsidRPr="00B0298D">
                    <w:rPr>
                      <w:rFonts w:eastAsia="Times New Roman" w:cs="Arial"/>
                      <w:bCs/>
                      <w:sz w:val="12"/>
                      <w:szCs w:val="12"/>
                      <w:lang w:eastAsia="da-DK"/>
                    </w:rPr>
                    <w:t>(+=gevinst)</w:t>
                  </w:r>
                </w:p>
              </w:tc>
              <w:tc>
                <w:tcPr>
                  <w:tcW w:w="1275" w:type="dxa"/>
                  <w:tcBorders>
                    <w:top w:val="single" w:sz="4" w:space="0" w:color="auto"/>
                    <w:left w:val="nil"/>
                    <w:bottom w:val="nil"/>
                  </w:tcBorders>
                  <w:shd w:val="clear" w:color="000000" w:fill="E9EFEC"/>
                </w:tcPr>
                <w:p w:rsidR="00BD5DDA" w:rsidRPr="00CE4D6E" w:rsidRDefault="00BD5DDA" w:rsidP="00DF14EC">
                  <w:pPr>
                    <w:spacing w:after="0" w:line="240" w:lineRule="auto"/>
                    <w:jc w:val="both"/>
                    <w:rPr>
                      <w:rFonts w:cs="Arial"/>
                      <w:i/>
                      <w:color w:val="000000"/>
                      <w:sz w:val="12"/>
                      <w:szCs w:val="12"/>
                      <w:lang w:eastAsia="da-DK"/>
                    </w:rPr>
                  </w:pPr>
                </w:p>
              </w:tc>
            </w:tr>
            <w:tr w:rsidR="00BD5DDA" w:rsidRPr="001B56A0" w:rsidTr="00BD5DDA">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Nordjylland</w:t>
                  </w:r>
                </w:p>
              </w:tc>
              <w:tc>
                <w:tcPr>
                  <w:tcW w:w="993" w:type="dxa"/>
                  <w:tcBorders>
                    <w:top w:val="nil"/>
                    <w:left w:val="nil"/>
                    <w:bottom w:val="single" w:sz="4" w:space="0" w:color="E9EFEC"/>
                  </w:tcBorders>
                  <w:shd w:val="clear" w:color="000000" w:fill="E9EFEC"/>
                  <w:noWrap/>
                  <w:vAlign w:val="center"/>
                  <w:hideMark/>
                </w:tcPr>
                <w:p w:rsidR="00BD5DDA" w:rsidRPr="001B56A0" w:rsidRDefault="00BD5DDA" w:rsidP="00BD5DDA">
                  <w:pPr>
                    <w:spacing w:after="0" w:line="240" w:lineRule="auto"/>
                    <w:jc w:val="center"/>
                    <w:rPr>
                      <w:rFonts w:cs="Arial"/>
                      <w:color w:val="000000"/>
                      <w:sz w:val="12"/>
                      <w:szCs w:val="12"/>
                      <w:lang w:eastAsia="da-DK"/>
                    </w:rPr>
                  </w:pPr>
                  <w:r w:rsidRPr="001B56A0">
                    <w:rPr>
                      <w:rFonts w:cs="Arial"/>
                      <w:color w:val="000000"/>
                      <w:sz w:val="12"/>
                      <w:szCs w:val="12"/>
                      <w:lang w:eastAsia="da-DK"/>
                    </w:rPr>
                    <w:t>1,5</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2,8</w:t>
                  </w:r>
                </w:p>
              </w:tc>
            </w:tr>
            <w:tr w:rsidR="00BD5DDA" w:rsidRPr="001B56A0" w:rsidTr="00BD5DDA">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Midtjylland</w:t>
                  </w:r>
                </w:p>
              </w:tc>
              <w:tc>
                <w:tcPr>
                  <w:tcW w:w="993" w:type="dxa"/>
                  <w:tcBorders>
                    <w:top w:val="nil"/>
                    <w:left w:val="nil"/>
                    <w:bottom w:val="single" w:sz="4" w:space="0" w:color="E9EFEC"/>
                  </w:tcBorders>
                  <w:shd w:val="clear" w:color="000000" w:fill="E9EFEC"/>
                  <w:noWrap/>
                  <w:vAlign w:val="center"/>
                  <w:hideMark/>
                </w:tcPr>
                <w:p w:rsidR="00BD5DDA" w:rsidRPr="001B56A0" w:rsidRDefault="00BD5DDA" w:rsidP="00BD5DDA">
                  <w:pPr>
                    <w:spacing w:after="0" w:line="240" w:lineRule="auto"/>
                    <w:jc w:val="center"/>
                    <w:rPr>
                      <w:rFonts w:cs="Arial"/>
                      <w:color w:val="000000"/>
                      <w:sz w:val="12"/>
                      <w:szCs w:val="12"/>
                      <w:lang w:eastAsia="da-DK"/>
                    </w:rPr>
                  </w:pPr>
                  <w:r w:rsidRPr="001B56A0">
                    <w:rPr>
                      <w:rFonts w:cs="Arial"/>
                      <w:color w:val="000000"/>
                      <w:sz w:val="12"/>
                      <w:szCs w:val="12"/>
                      <w:lang w:eastAsia="da-DK"/>
                    </w:rPr>
                    <w:t>7,1</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13,3</w:t>
                  </w:r>
                </w:p>
              </w:tc>
            </w:tr>
            <w:tr w:rsidR="00BD5DDA" w:rsidRPr="001B56A0" w:rsidTr="00BD5DDA">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Syddanmark</w:t>
                  </w:r>
                </w:p>
              </w:tc>
              <w:tc>
                <w:tcPr>
                  <w:tcW w:w="993" w:type="dxa"/>
                  <w:tcBorders>
                    <w:top w:val="nil"/>
                    <w:left w:val="nil"/>
                    <w:bottom w:val="single" w:sz="4" w:space="0" w:color="E9EFEC"/>
                  </w:tcBorders>
                  <w:shd w:val="clear" w:color="000000" w:fill="E9EFEC"/>
                  <w:noWrap/>
                  <w:vAlign w:val="center"/>
                  <w:hideMark/>
                </w:tcPr>
                <w:p w:rsidR="00BD5DDA" w:rsidRPr="001B56A0" w:rsidRDefault="00BD5DDA" w:rsidP="00BD5DDA">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17,3</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-11,6</w:t>
                  </w:r>
                </w:p>
              </w:tc>
            </w:tr>
            <w:tr w:rsidR="00BD5DDA" w:rsidRPr="001B56A0" w:rsidTr="00BD5DDA">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Hovedstaden</w:t>
                  </w:r>
                </w:p>
              </w:tc>
              <w:tc>
                <w:tcPr>
                  <w:tcW w:w="993" w:type="dxa"/>
                  <w:tcBorders>
                    <w:top w:val="nil"/>
                    <w:left w:val="nil"/>
                    <w:bottom w:val="single" w:sz="4" w:space="0" w:color="E9EFEC"/>
                  </w:tcBorders>
                  <w:shd w:val="clear" w:color="000000" w:fill="E9EFEC"/>
                  <w:noWrap/>
                  <w:vAlign w:val="center"/>
                  <w:hideMark/>
                </w:tcPr>
                <w:p w:rsidR="00BD5DDA" w:rsidRPr="001B56A0" w:rsidRDefault="00BD5DDA" w:rsidP="00BD5DDA">
                  <w:pPr>
                    <w:spacing w:after="0" w:line="240" w:lineRule="auto"/>
                    <w:jc w:val="center"/>
                    <w:rPr>
                      <w:rFonts w:cs="Arial"/>
                      <w:color w:val="000000"/>
                      <w:sz w:val="12"/>
                      <w:szCs w:val="12"/>
                      <w:lang w:eastAsia="da-DK"/>
                    </w:rPr>
                  </w:pPr>
                  <w:r w:rsidRPr="001B56A0">
                    <w:rPr>
                      <w:rFonts w:cs="Arial"/>
                      <w:color w:val="000000"/>
                      <w:sz w:val="12"/>
                      <w:szCs w:val="12"/>
                      <w:lang w:eastAsia="da-DK"/>
                    </w:rPr>
                    <w:t>55,3</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32,4</w:t>
                  </w:r>
                </w:p>
              </w:tc>
            </w:tr>
            <w:tr w:rsidR="00BD5DDA" w:rsidRPr="001B56A0" w:rsidTr="00BD5DDA">
              <w:trPr>
                <w:trHeight w:val="210"/>
              </w:trPr>
              <w:tc>
                <w:tcPr>
                  <w:tcW w:w="1701" w:type="dxa"/>
                  <w:tcBorders>
                    <w:top w:val="nil"/>
                    <w:left w:val="nil"/>
                    <w:bottom w:val="nil"/>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Sjælland</w:t>
                  </w:r>
                </w:p>
              </w:tc>
              <w:tc>
                <w:tcPr>
                  <w:tcW w:w="993" w:type="dxa"/>
                  <w:tcBorders>
                    <w:top w:val="nil"/>
                    <w:left w:val="nil"/>
                    <w:bottom w:val="single" w:sz="4" w:space="0" w:color="E9EFEC"/>
                  </w:tcBorders>
                  <w:shd w:val="clear" w:color="000000" w:fill="E9EFEC"/>
                  <w:noWrap/>
                  <w:vAlign w:val="center"/>
                  <w:hideMark/>
                </w:tcPr>
                <w:p w:rsidR="00BD5DDA" w:rsidRPr="001B56A0" w:rsidRDefault="00BD5DDA" w:rsidP="00BD5DDA">
                  <w:pPr>
                    <w:spacing w:after="0" w:line="240" w:lineRule="auto"/>
                    <w:jc w:val="center"/>
                    <w:rPr>
                      <w:rFonts w:cs="Arial"/>
                      <w:color w:val="000000"/>
                      <w:sz w:val="12"/>
                      <w:szCs w:val="12"/>
                      <w:lang w:eastAsia="da-DK"/>
                    </w:rPr>
                  </w:pPr>
                  <w:r>
                    <w:rPr>
                      <w:rFonts w:cs="Arial"/>
                      <w:color w:val="000000"/>
                      <w:sz w:val="12"/>
                      <w:szCs w:val="12"/>
                      <w:lang w:eastAsia="da-DK"/>
                    </w:rPr>
                    <w:t>-</w:t>
                  </w:r>
                  <w:r w:rsidRPr="001B56A0">
                    <w:rPr>
                      <w:rFonts w:cs="Arial"/>
                      <w:color w:val="000000"/>
                      <w:sz w:val="12"/>
                      <w:szCs w:val="12"/>
                      <w:lang w:eastAsia="da-DK"/>
                    </w:rPr>
                    <w:t>46,7</w:t>
                  </w:r>
                </w:p>
              </w:tc>
              <w:tc>
                <w:tcPr>
                  <w:tcW w:w="1275" w:type="dxa"/>
                  <w:tcBorders>
                    <w:top w:val="nil"/>
                    <w:left w:val="nil"/>
                    <w:bottom w:val="single" w:sz="4" w:space="0" w:color="E9EFEC"/>
                  </w:tcBorders>
                  <w:shd w:val="clear" w:color="000000" w:fill="E9EFEC"/>
                  <w:vAlign w:val="center"/>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-36,9</w:t>
                  </w:r>
                </w:p>
              </w:tc>
            </w:tr>
            <w:tr w:rsidR="00BD5DDA" w:rsidRPr="001B56A0" w:rsidTr="00BD5DDA">
              <w:trPr>
                <w:trHeight w:val="210"/>
              </w:trPr>
              <w:tc>
                <w:tcPr>
                  <w:tcW w:w="1701" w:type="dxa"/>
                  <w:tcBorders>
                    <w:top w:val="single" w:sz="4" w:space="0" w:color="E9EFEC"/>
                    <w:left w:val="nil"/>
                    <w:bottom w:val="dashed" w:sz="4" w:space="0" w:color="auto"/>
                    <w:right w:val="nil"/>
                  </w:tcBorders>
                  <w:shd w:val="clear" w:color="000000" w:fill="E9EFEC"/>
                  <w:vAlign w:val="center"/>
                  <w:hideMark/>
                </w:tcPr>
                <w:p w:rsidR="00BD5DDA" w:rsidRPr="001B56A0" w:rsidRDefault="00BD5DDA" w:rsidP="00DF14EC">
                  <w:pPr>
                    <w:spacing w:after="0" w:line="240" w:lineRule="auto"/>
                    <w:jc w:val="both"/>
                    <w:rPr>
                      <w:rFonts w:cs="Arial"/>
                      <w:b/>
                      <w:bCs/>
                      <w:color w:val="000000"/>
                      <w:sz w:val="12"/>
                      <w:szCs w:val="12"/>
                      <w:lang w:eastAsia="da-DK"/>
                    </w:rPr>
                  </w:pPr>
                  <w:r w:rsidRPr="001B56A0">
                    <w:rPr>
                      <w:rFonts w:cs="Arial"/>
                      <w:b/>
                      <w:bCs/>
                      <w:color w:val="000000"/>
                      <w:sz w:val="12"/>
                      <w:szCs w:val="12"/>
                      <w:lang w:eastAsia="da-DK"/>
                    </w:rPr>
                    <w:t>Hele landet</w:t>
                  </w:r>
                </w:p>
              </w:tc>
              <w:tc>
                <w:tcPr>
                  <w:tcW w:w="993" w:type="dxa"/>
                  <w:tcBorders>
                    <w:top w:val="nil"/>
                    <w:left w:val="nil"/>
                    <w:bottom w:val="dashed" w:sz="4" w:space="0" w:color="auto"/>
                  </w:tcBorders>
                  <w:shd w:val="clear" w:color="000000" w:fill="E9EFEC"/>
                  <w:noWrap/>
                  <w:vAlign w:val="center"/>
                  <w:hideMark/>
                </w:tcPr>
                <w:p w:rsidR="00BD5DDA" w:rsidRPr="001B56A0" w:rsidRDefault="00BD5DDA" w:rsidP="00BD5DDA">
                  <w:pPr>
                    <w:spacing w:after="0" w:line="240" w:lineRule="auto"/>
                    <w:jc w:val="center"/>
                    <w:rPr>
                      <w:rFonts w:cs="Arial"/>
                      <w:b/>
                      <w:bCs/>
                      <w:color w:val="000000"/>
                      <w:sz w:val="12"/>
                      <w:szCs w:val="12"/>
                      <w:lang w:eastAsia="da-DK"/>
                    </w:rPr>
                  </w:pPr>
                  <w:r w:rsidRPr="001B56A0">
                    <w:rPr>
                      <w:rFonts w:cs="Arial"/>
                      <w:b/>
                      <w:bCs/>
                      <w:color w:val="000000"/>
                      <w:sz w:val="12"/>
                      <w:szCs w:val="12"/>
                      <w:lang w:eastAsia="da-DK"/>
                    </w:rPr>
                    <w:t>0,0</w:t>
                  </w:r>
                </w:p>
              </w:tc>
              <w:tc>
                <w:tcPr>
                  <w:tcW w:w="1275" w:type="dxa"/>
                  <w:tcBorders>
                    <w:top w:val="nil"/>
                    <w:left w:val="nil"/>
                    <w:bottom w:val="dashed" w:sz="4" w:space="0" w:color="auto"/>
                  </w:tcBorders>
                  <w:shd w:val="clear" w:color="000000" w:fill="E9EFEC"/>
                  <w:vAlign w:val="center"/>
                </w:tcPr>
                <w:p w:rsidR="00BD5DDA" w:rsidRPr="00BD5DDA" w:rsidRDefault="00BD5DDA" w:rsidP="00BD5DDA">
                  <w:pPr>
                    <w:spacing w:after="0" w:line="240" w:lineRule="auto"/>
                    <w:jc w:val="center"/>
                    <w:rPr>
                      <w:rFonts w:cs="Arial"/>
                      <w:b/>
                      <w:color w:val="000000"/>
                      <w:sz w:val="12"/>
                      <w:szCs w:val="12"/>
                      <w:lang w:eastAsia="da-DK"/>
                    </w:rPr>
                  </w:pPr>
                  <w:r w:rsidRPr="00BD5DDA">
                    <w:rPr>
                      <w:rFonts w:cs="Arial"/>
                      <w:b/>
                      <w:color w:val="000000"/>
                      <w:sz w:val="12"/>
                      <w:szCs w:val="12"/>
                      <w:lang w:eastAsia="da-DK"/>
                    </w:rPr>
                    <w:t>0,0</w:t>
                  </w:r>
                </w:p>
              </w:tc>
            </w:tr>
            <w:tr w:rsidR="00BD5DDA" w:rsidRPr="001B56A0" w:rsidTr="00BD5DDA">
              <w:trPr>
                <w:trHeight w:val="229"/>
              </w:trPr>
              <w:tc>
                <w:tcPr>
                  <w:tcW w:w="2694" w:type="dxa"/>
                  <w:gridSpan w:val="2"/>
                  <w:tcBorders>
                    <w:top w:val="nil"/>
                    <w:left w:val="nil"/>
                    <w:bottom w:val="nil"/>
                  </w:tcBorders>
                  <w:shd w:val="clear" w:color="000000" w:fill="E9EFEC"/>
                  <w:noWrap/>
                  <w:vAlign w:val="center"/>
                  <w:hideMark/>
                </w:tcPr>
                <w:p w:rsidR="0017212C" w:rsidRDefault="00BD5DDA" w:rsidP="00DF03B4">
                  <w:pPr>
                    <w:spacing w:after="0" w:line="240" w:lineRule="auto"/>
                    <w:jc w:val="both"/>
                    <w:rPr>
                      <w:rFonts w:cs="Arial"/>
                      <w:i/>
                      <w:iCs/>
                      <w:color w:val="000000"/>
                      <w:sz w:val="12"/>
                      <w:szCs w:val="12"/>
                      <w:lang w:eastAsia="da-DK"/>
                    </w:rPr>
                  </w:pPr>
                  <w:r>
                    <w:rPr>
                      <w:rFonts w:cs="Arial"/>
                      <w:i/>
                      <w:iCs/>
                      <w:color w:val="000000"/>
                      <w:sz w:val="12"/>
                      <w:szCs w:val="12"/>
                      <w:lang w:eastAsia="da-DK"/>
                    </w:rPr>
                    <w:t xml:space="preserve">Beregnet </w:t>
                  </w:r>
                  <w:r w:rsidR="00DF03B4">
                    <w:rPr>
                      <w:rFonts w:cs="Arial"/>
                      <w:i/>
                      <w:iCs/>
                      <w:color w:val="000000"/>
                      <w:sz w:val="12"/>
                      <w:szCs w:val="12"/>
                      <w:lang w:eastAsia="da-DK"/>
                    </w:rPr>
                    <w:t xml:space="preserve">ændring i </w:t>
                  </w:r>
                </w:p>
                <w:p w:rsidR="00BD5DDA" w:rsidRDefault="00DF03B4" w:rsidP="00DF03B4">
                  <w:pPr>
                    <w:spacing w:after="0" w:line="240" w:lineRule="auto"/>
                    <w:jc w:val="both"/>
                    <w:rPr>
                      <w:rFonts w:cs="Arial"/>
                      <w:i/>
                      <w:iCs/>
                      <w:color w:val="000000"/>
                      <w:sz w:val="12"/>
                      <w:szCs w:val="12"/>
                      <w:lang w:eastAsia="da-DK"/>
                    </w:rPr>
                  </w:pPr>
                  <w:r>
                    <w:rPr>
                      <w:rFonts w:cs="Arial"/>
                      <w:i/>
                      <w:iCs/>
                      <w:color w:val="000000"/>
                      <w:sz w:val="12"/>
                      <w:szCs w:val="12"/>
                      <w:lang w:eastAsia="da-DK"/>
                    </w:rPr>
                    <w:t>p</w:t>
                  </w:r>
                  <w:r w:rsidR="00BD5DDA" w:rsidRPr="001B56A0">
                    <w:rPr>
                      <w:rFonts w:cs="Arial"/>
                      <w:i/>
                      <w:iCs/>
                      <w:color w:val="000000"/>
                      <w:sz w:val="12"/>
                      <w:szCs w:val="12"/>
                      <w:lang w:eastAsia="da-DK"/>
                    </w:rPr>
                    <w:t>ct. af beskatnings</w:t>
                  </w:r>
                  <w:r w:rsidR="00BD5DDA">
                    <w:rPr>
                      <w:rFonts w:cs="Arial"/>
                      <w:i/>
                      <w:iCs/>
                      <w:color w:val="000000"/>
                      <w:sz w:val="12"/>
                      <w:szCs w:val="12"/>
                      <w:lang w:eastAsia="da-DK"/>
                    </w:rPr>
                    <w:t>niveau</w:t>
                  </w:r>
                </w:p>
                <w:p w:rsidR="00B0298D" w:rsidRPr="00874D96" w:rsidRDefault="00B0298D" w:rsidP="00DF03B4">
                  <w:pPr>
                    <w:spacing w:after="0" w:line="240" w:lineRule="auto"/>
                    <w:jc w:val="both"/>
                    <w:rPr>
                      <w:rFonts w:cs="Arial"/>
                      <w:i/>
                      <w:iCs/>
                      <w:color w:val="000000"/>
                      <w:sz w:val="12"/>
                      <w:szCs w:val="12"/>
                      <w:lang w:eastAsia="da-DK"/>
                    </w:rPr>
                  </w:pPr>
                  <w:r>
                    <w:rPr>
                      <w:rFonts w:eastAsia="Times New Roman" w:cs="Arial"/>
                      <w:bCs/>
                      <w:sz w:val="12"/>
                      <w:szCs w:val="12"/>
                      <w:lang w:eastAsia="da-DK"/>
                    </w:rPr>
                    <w:t>(-</w:t>
                  </w:r>
                  <w:r w:rsidRPr="00B0298D">
                    <w:rPr>
                      <w:rFonts w:eastAsia="Times New Roman" w:cs="Arial"/>
                      <w:bCs/>
                      <w:sz w:val="12"/>
                      <w:szCs w:val="12"/>
                      <w:lang w:eastAsia="da-DK"/>
                    </w:rPr>
                    <w:t>=gevinst)</w:t>
                  </w:r>
                </w:p>
              </w:tc>
              <w:tc>
                <w:tcPr>
                  <w:tcW w:w="1275" w:type="dxa"/>
                  <w:tcBorders>
                    <w:top w:val="nil"/>
                    <w:left w:val="nil"/>
                    <w:bottom w:val="nil"/>
                  </w:tcBorders>
                  <w:shd w:val="clear" w:color="000000" w:fill="E9EFEC"/>
                </w:tcPr>
                <w:p w:rsidR="00BD5DDA" w:rsidRDefault="00BD5DDA" w:rsidP="00DF14EC">
                  <w:pPr>
                    <w:spacing w:after="0" w:line="240" w:lineRule="auto"/>
                    <w:jc w:val="both"/>
                    <w:rPr>
                      <w:rFonts w:cs="Arial"/>
                      <w:i/>
                      <w:iCs/>
                      <w:color w:val="000000"/>
                      <w:sz w:val="12"/>
                      <w:szCs w:val="12"/>
                      <w:lang w:eastAsia="da-DK"/>
                    </w:rPr>
                  </w:pPr>
                </w:p>
              </w:tc>
            </w:tr>
            <w:tr w:rsidR="00BD5DDA" w:rsidRPr="001B56A0" w:rsidTr="00073EEF">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Nordjylland</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0,00</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0,00</w:t>
                  </w:r>
                </w:p>
              </w:tc>
            </w:tr>
            <w:tr w:rsidR="00BD5DDA" w:rsidRPr="001B56A0" w:rsidTr="00073EEF">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Midtjylland</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0,00</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-0,01</w:t>
                  </w:r>
                </w:p>
              </w:tc>
            </w:tr>
            <w:tr w:rsidR="00BD5DDA" w:rsidRPr="001B56A0" w:rsidTr="00073EEF">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Syddanmark</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0,01</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0,01</w:t>
                  </w:r>
                </w:p>
              </w:tc>
            </w:tr>
            <w:tr w:rsidR="00BD5DDA" w:rsidRPr="001B56A0" w:rsidTr="00073EEF">
              <w:trPr>
                <w:trHeight w:val="210"/>
              </w:trPr>
              <w:tc>
                <w:tcPr>
                  <w:tcW w:w="1701" w:type="dxa"/>
                  <w:tcBorders>
                    <w:top w:val="nil"/>
                    <w:left w:val="nil"/>
                    <w:bottom w:val="single" w:sz="4" w:space="0" w:color="E9EFEC"/>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Hovedstaden</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-0,01</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-0,01</w:t>
                  </w:r>
                </w:p>
              </w:tc>
            </w:tr>
            <w:tr w:rsidR="00BD5DDA" w:rsidRPr="001B56A0" w:rsidTr="00073EEF">
              <w:trPr>
                <w:trHeight w:val="210"/>
              </w:trPr>
              <w:tc>
                <w:tcPr>
                  <w:tcW w:w="1701" w:type="dxa"/>
                  <w:tcBorders>
                    <w:top w:val="nil"/>
                    <w:left w:val="nil"/>
                    <w:bottom w:val="nil"/>
                    <w:right w:val="nil"/>
                  </w:tcBorders>
                  <w:shd w:val="clear" w:color="000000" w:fill="E9EFEC"/>
                  <w:vAlign w:val="center"/>
                  <w:hideMark/>
                </w:tcPr>
                <w:p w:rsidR="00BD5DDA" w:rsidRPr="001B56A0" w:rsidRDefault="00BD5DDA" w:rsidP="00DF14EC">
                  <w:pPr>
                    <w:spacing w:after="0" w:line="240" w:lineRule="auto"/>
                    <w:jc w:val="both"/>
                    <w:rPr>
                      <w:rFonts w:cs="Arial"/>
                      <w:color w:val="000000"/>
                      <w:sz w:val="12"/>
                      <w:szCs w:val="12"/>
                      <w:lang w:eastAsia="da-DK"/>
                    </w:rPr>
                  </w:pPr>
                  <w:r w:rsidRPr="001B56A0">
                    <w:rPr>
                      <w:rFonts w:cs="Arial"/>
                      <w:color w:val="000000"/>
                      <w:sz w:val="12"/>
                      <w:szCs w:val="12"/>
                      <w:lang w:eastAsia="da-DK"/>
                    </w:rPr>
                    <w:t>Region Sjælland</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0,03</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color w:val="000000"/>
                      <w:sz w:val="12"/>
                      <w:szCs w:val="12"/>
                      <w:lang w:eastAsia="da-DK"/>
                    </w:rPr>
                  </w:pPr>
                  <w:r w:rsidRPr="00BD5DDA">
                    <w:rPr>
                      <w:rFonts w:cs="Arial"/>
                      <w:color w:val="000000"/>
                      <w:sz w:val="12"/>
                      <w:szCs w:val="12"/>
                      <w:lang w:eastAsia="da-DK"/>
                    </w:rPr>
                    <w:t>0,03</w:t>
                  </w:r>
                </w:p>
              </w:tc>
            </w:tr>
            <w:tr w:rsidR="00BD5DDA" w:rsidRPr="001B56A0" w:rsidTr="00073EEF">
              <w:trPr>
                <w:trHeight w:val="210"/>
              </w:trPr>
              <w:tc>
                <w:tcPr>
                  <w:tcW w:w="1701" w:type="dxa"/>
                  <w:tcBorders>
                    <w:top w:val="nil"/>
                    <w:left w:val="nil"/>
                    <w:bottom w:val="nil"/>
                    <w:right w:val="nil"/>
                  </w:tcBorders>
                  <w:shd w:val="clear" w:color="000000" w:fill="E9EFEC"/>
                  <w:vAlign w:val="center"/>
                  <w:hideMark/>
                </w:tcPr>
                <w:p w:rsidR="00BD5DDA" w:rsidRPr="001B56A0" w:rsidRDefault="00BD5DDA" w:rsidP="00DF14EC">
                  <w:pPr>
                    <w:spacing w:after="0" w:line="240" w:lineRule="auto"/>
                    <w:jc w:val="both"/>
                    <w:rPr>
                      <w:rFonts w:cs="Arial"/>
                      <w:b/>
                      <w:bCs/>
                      <w:color w:val="000000"/>
                      <w:sz w:val="12"/>
                      <w:szCs w:val="12"/>
                      <w:lang w:eastAsia="da-DK"/>
                    </w:rPr>
                  </w:pPr>
                  <w:r w:rsidRPr="001B56A0">
                    <w:rPr>
                      <w:rFonts w:cs="Arial"/>
                      <w:b/>
                      <w:bCs/>
                      <w:color w:val="000000"/>
                      <w:sz w:val="12"/>
                      <w:szCs w:val="12"/>
                      <w:lang w:eastAsia="da-DK"/>
                    </w:rPr>
                    <w:t>Hele landet</w:t>
                  </w:r>
                </w:p>
              </w:tc>
              <w:tc>
                <w:tcPr>
                  <w:tcW w:w="993" w:type="dxa"/>
                  <w:tcBorders>
                    <w:top w:val="nil"/>
                    <w:left w:val="nil"/>
                    <w:bottom w:val="single" w:sz="4" w:space="0" w:color="E9EFEC"/>
                  </w:tcBorders>
                  <w:shd w:val="clear" w:color="000000" w:fill="E9EFEC"/>
                  <w:noWrap/>
                  <w:vAlign w:val="bottom"/>
                  <w:hideMark/>
                </w:tcPr>
                <w:p w:rsidR="00BD5DDA" w:rsidRPr="00BD5DDA" w:rsidRDefault="00BD5DDA" w:rsidP="00BD5DDA">
                  <w:pPr>
                    <w:spacing w:after="0" w:line="240" w:lineRule="auto"/>
                    <w:jc w:val="center"/>
                    <w:rPr>
                      <w:rFonts w:cs="Arial"/>
                      <w:b/>
                      <w:color w:val="000000"/>
                      <w:sz w:val="12"/>
                      <w:szCs w:val="12"/>
                      <w:lang w:eastAsia="da-DK"/>
                    </w:rPr>
                  </w:pPr>
                  <w:r w:rsidRPr="00BD5DDA">
                    <w:rPr>
                      <w:rFonts w:cs="Arial"/>
                      <w:b/>
                      <w:color w:val="000000"/>
                      <w:sz w:val="12"/>
                      <w:szCs w:val="12"/>
                      <w:lang w:eastAsia="da-DK"/>
                    </w:rPr>
                    <w:t>0,00</w:t>
                  </w:r>
                </w:p>
              </w:tc>
              <w:tc>
                <w:tcPr>
                  <w:tcW w:w="1275" w:type="dxa"/>
                  <w:tcBorders>
                    <w:top w:val="nil"/>
                    <w:left w:val="nil"/>
                    <w:bottom w:val="single" w:sz="4" w:space="0" w:color="E9EFEC"/>
                  </w:tcBorders>
                  <w:shd w:val="clear" w:color="000000" w:fill="E9EFEC"/>
                  <w:vAlign w:val="bottom"/>
                </w:tcPr>
                <w:p w:rsidR="00BD5DDA" w:rsidRPr="00BD5DDA" w:rsidRDefault="00BD5DDA" w:rsidP="00BD5DDA">
                  <w:pPr>
                    <w:spacing w:after="0" w:line="240" w:lineRule="auto"/>
                    <w:jc w:val="center"/>
                    <w:rPr>
                      <w:rFonts w:cs="Arial"/>
                      <w:b/>
                      <w:color w:val="000000"/>
                      <w:sz w:val="12"/>
                      <w:szCs w:val="12"/>
                      <w:lang w:eastAsia="da-DK"/>
                    </w:rPr>
                  </w:pPr>
                  <w:r w:rsidRPr="00BD5DDA">
                    <w:rPr>
                      <w:rFonts w:cs="Arial"/>
                      <w:b/>
                      <w:color w:val="000000"/>
                      <w:sz w:val="12"/>
                      <w:szCs w:val="12"/>
                      <w:lang w:eastAsia="da-DK"/>
                    </w:rPr>
                    <w:t>0,00</w:t>
                  </w:r>
                </w:p>
              </w:tc>
            </w:tr>
          </w:tbl>
          <w:p w:rsidR="003B5520" w:rsidRPr="000C2714" w:rsidRDefault="003B5520" w:rsidP="00DF14EC">
            <w:pPr>
              <w:jc w:val="both"/>
              <w:rPr>
                <w:rFonts w:ascii="Calibri" w:hAnsi="Calibri"/>
                <w:sz w:val="14"/>
              </w:rPr>
            </w:pPr>
          </w:p>
        </w:tc>
      </w:tr>
      <w:tr w:rsidR="003B5520" w:rsidTr="00DF14EC">
        <w:trPr>
          <w:trHeight w:val="129"/>
        </w:trPr>
        <w:tc>
          <w:tcPr>
            <w:tcW w:w="3686" w:type="dxa"/>
            <w:shd w:val="clear" w:color="auto" w:fill="E9EFEC"/>
          </w:tcPr>
          <w:p w:rsidR="003B5520" w:rsidRPr="000C2714" w:rsidRDefault="003B5520" w:rsidP="00DF14EC">
            <w:pPr>
              <w:spacing w:line="240" w:lineRule="auto"/>
              <w:jc w:val="both"/>
              <w:rPr>
                <w:rFonts w:ascii="Calibri" w:hAnsi="Calibri"/>
                <w:sz w:val="12"/>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c>
          <w:tcPr>
            <w:tcW w:w="4076" w:type="dxa"/>
            <w:shd w:val="clear" w:color="auto" w:fill="E9EFEC"/>
          </w:tcPr>
          <w:p w:rsidR="003B5520" w:rsidRPr="000C2714" w:rsidRDefault="003B5520" w:rsidP="00DF14EC">
            <w:pPr>
              <w:spacing w:line="240" w:lineRule="auto"/>
              <w:jc w:val="both"/>
              <w:rPr>
                <w:rFonts w:ascii="Calibri" w:hAnsi="Calibri"/>
                <w:sz w:val="12"/>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r>
    </w:tbl>
    <w:p w:rsidR="003B5520" w:rsidRDefault="003B5520" w:rsidP="003B5520">
      <w:pPr>
        <w:jc w:val="both"/>
        <w:rPr>
          <w:b/>
          <w:i/>
        </w:rPr>
      </w:pPr>
    </w:p>
    <w:p w:rsidR="003B5520" w:rsidRDefault="003B5520" w:rsidP="003B5520">
      <w:pPr>
        <w:jc w:val="both"/>
      </w:pPr>
    </w:p>
    <w:p w:rsidR="003B5520" w:rsidRDefault="003B5520" w:rsidP="003B5520">
      <w:pPr>
        <w:jc w:val="both"/>
        <w:rPr>
          <w:rFonts w:asciiTheme="majorHAnsi" w:eastAsiaTheme="majorEastAsia" w:hAnsiTheme="majorHAnsi" w:cstheme="majorBidi"/>
          <w:bCs/>
          <w:color w:val="17365D" w:themeColor="text2" w:themeShade="BF"/>
          <w:sz w:val="36"/>
          <w:szCs w:val="36"/>
        </w:rPr>
      </w:pPr>
      <w:r>
        <w:rPr>
          <w:b/>
          <w:color w:val="17365D" w:themeColor="text2" w:themeShade="BF"/>
          <w:sz w:val="36"/>
          <w:szCs w:val="36"/>
        </w:rPr>
        <w:br w:type="page"/>
      </w:r>
    </w:p>
    <w:p w:rsidR="00B955F1" w:rsidRDefault="002024CF" w:rsidP="00013753">
      <w:pPr>
        <w:pStyle w:val="Overskrift1"/>
        <w:pBdr>
          <w:bottom w:val="single" w:sz="4" w:space="1" w:color="4F81BD" w:themeColor="accent1"/>
        </w:pBdr>
        <w:jc w:val="both"/>
        <w:rPr>
          <w:b w:val="0"/>
          <w:color w:val="17365D" w:themeColor="text2" w:themeShade="BF"/>
          <w:sz w:val="36"/>
          <w:szCs w:val="36"/>
        </w:rPr>
      </w:pPr>
      <w:bookmarkStart w:id="13" w:name="_Toc451358728"/>
      <w:r>
        <w:rPr>
          <w:b w:val="0"/>
          <w:color w:val="17365D" w:themeColor="text2" w:themeShade="BF"/>
          <w:sz w:val="36"/>
          <w:szCs w:val="36"/>
        </w:rPr>
        <w:t>6</w:t>
      </w:r>
      <w:r w:rsidR="00B955F1" w:rsidRPr="00B955F1">
        <w:rPr>
          <w:b w:val="0"/>
          <w:color w:val="17365D" w:themeColor="text2" w:themeShade="BF"/>
          <w:sz w:val="36"/>
          <w:szCs w:val="36"/>
        </w:rPr>
        <w:t xml:space="preserve">. En ændret </w:t>
      </w:r>
      <w:r w:rsidR="001B7D57">
        <w:rPr>
          <w:b w:val="0"/>
          <w:color w:val="17365D" w:themeColor="text2" w:themeShade="BF"/>
          <w:sz w:val="36"/>
          <w:szCs w:val="36"/>
        </w:rPr>
        <w:t>tilbagebetaling</w:t>
      </w:r>
      <w:bookmarkEnd w:id="13"/>
    </w:p>
    <w:p w:rsidR="00132751" w:rsidRDefault="00132751" w:rsidP="00013753">
      <w:pPr>
        <w:jc w:val="both"/>
        <w:rPr>
          <w:rFonts w:ascii="Garamond" w:hAnsi="Garamond"/>
          <w:sz w:val="24"/>
          <w:szCs w:val="24"/>
        </w:rPr>
      </w:pPr>
    </w:p>
    <w:p w:rsidR="009A562C" w:rsidRDefault="009A562C" w:rsidP="009A562C">
      <w:pPr>
        <w:jc w:val="both"/>
        <w:rPr>
          <w:rFonts w:ascii="Garamond" w:hAnsi="Garamond"/>
          <w:sz w:val="24"/>
          <w:szCs w:val="24"/>
        </w:rPr>
      </w:pPr>
      <w:r>
        <w:rPr>
          <w:rFonts w:ascii="Garamond" w:hAnsi="Garamond"/>
          <w:sz w:val="24"/>
          <w:szCs w:val="24"/>
        </w:rPr>
        <w:t xml:space="preserve">Med den nuværende ordning tilbagebetales evt. kommunal medfinansiering </w:t>
      </w:r>
      <w:r w:rsidRPr="00A315E5">
        <w:rPr>
          <w:rFonts w:ascii="Garamond" w:hAnsi="Garamond"/>
          <w:sz w:val="24"/>
          <w:szCs w:val="24"/>
        </w:rPr>
        <w:t xml:space="preserve">udover loftet til kommunerne under ét. </w:t>
      </w:r>
      <w:r w:rsidR="006B745D">
        <w:rPr>
          <w:rFonts w:ascii="Garamond" w:hAnsi="Garamond"/>
          <w:sz w:val="24"/>
          <w:szCs w:val="24"/>
        </w:rPr>
        <w:t>Tilbagebetalings</w:t>
      </w:r>
      <w:r w:rsidR="00A315E5" w:rsidRPr="00A315E5">
        <w:rPr>
          <w:rFonts w:ascii="Garamond" w:hAnsi="Garamond"/>
          <w:sz w:val="24"/>
          <w:szCs w:val="24"/>
        </w:rPr>
        <w:t xml:space="preserve">konstruktion </w:t>
      </w:r>
      <w:r w:rsidR="006B745D">
        <w:rPr>
          <w:rFonts w:ascii="Garamond" w:hAnsi="Garamond"/>
          <w:sz w:val="24"/>
          <w:szCs w:val="24"/>
        </w:rPr>
        <w:t>indebærer således</w:t>
      </w:r>
      <w:r w:rsidR="00A315E5" w:rsidRPr="00A315E5">
        <w:rPr>
          <w:rFonts w:ascii="Garamond" w:hAnsi="Garamond"/>
          <w:sz w:val="24"/>
          <w:szCs w:val="24"/>
        </w:rPr>
        <w:t xml:space="preserve">, at </w:t>
      </w:r>
      <w:r w:rsidRPr="00A315E5">
        <w:rPr>
          <w:rFonts w:ascii="Garamond" w:hAnsi="Garamond"/>
          <w:sz w:val="24"/>
          <w:szCs w:val="24"/>
        </w:rPr>
        <w:t xml:space="preserve">en kommune med merudgifter </w:t>
      </w:r>
      <w:r w:rsidR="00A315E5" w:rsidRPr="00A315E5">
        <w:rPr>
          <w:rFonts w:ascii="Garamond" w:hAnsi="Garamond"/>
          <w:sz w:val="24"/>
          <w:szCs w:val="24"/>
        </w:rPr>
        <w:t xml:space="preserve">ikke nødvendigvis </w:t>
      </w:r>
      <w:r w:rsidR="006B745D">
        <w:rPr>
          <w:rFonts w:ascii="Garamond" w:hAnsi="Garamond"/>
          <w:sz w:val="24"/>
          <w:szCs w:val="24"/>
        </w:rPr>
        <w:t>får</w:t>
      </w:r>
      <w:r w:rsidR="00A315E5" w:rsidRPr="00A315E5">
        <w:rPr>
          <w:rFonts w:ascii="Garamond" w:hAnsi="Garamond"/>
          <w:sz w:val="24"/>
          <w:szCs w:val="24"/>
        </w:rPr>
        <w:t xml:space="preserve"> </w:t>
      </w:r>
      <w:r w:rsidR="006B745D">
        <w:rPr>
          <w:rFonts w:ascii="Garamond" w:hAnsi="Garamond"/>
          <w:sz w:val="24"/>
          <w:szCs w:val="24"/>
        </w:rPr>
        <w:t>tilbagebetalt</w:t>
      </w:r>
      <w:r w:rsidR="00A315E5" w:rsidRPr="00A315E5">
        <w:rPr>
          <w:rFonts w:ascii="Garamond" w:hAnsi="Garamond"/>
          <w:sz w:val="24"/>
          <w:szCs w:val="24"/>
        </w:rPr>
        <w:t xml:space="preserve"> </w:t>
      </w:r>
      <w:r w:rsidR="00A315E5">
        <w:rPr>
          <w:rFonts w:ascii="Garamond" w:hAnsi="Garamond"/>
          <w:sz w:val="24"/>
          <w:szCs w:val="24"/>
        </w:rPr>
        <w:t>de</w:t>
      </w:r>
      <w:r w:rsidR="00A315E5" w:rsidRPr="00A315E5">
        <w:rPr>
          <w:rFonts w:ascii="Garamond" w:hAnsi="Garamond"/>
          <w:sz w:val="24"/>
          <w:szCs w:val="24"/>
        </w:rPr>
        <w:t xml:space="preserve"> </w:t>
      </w:r>
      <w:r w:rsidR="00A315E5">
        <w:rPr>
          <w:rFonts w:ascii="Garamond" w:hAnsi="Garamond"/>
          <w:sz w:val="24"/>
          <w:szCs w:val="24"/>
        </w:rPr>
        <w:t xml:space="preserve">reelle </w:t>
      </w:r>
      <w:r w:rsidR="00A315E5" w:rsidRPr="00A315E5">
        <w:rPr>
          <w:rFonts w:ascii="Garamond" w:hAnsi="Garamond"/>
          <w:sz w:val="24"/>
          <w:szCs w:val="24"/>
        </w:rPr>
        <w:t>merudgifter</w:t>
      </w:r>
      <w:r w:rsidRPr="00A315E5">
        <w:rPr>
          <w:rFonts w:ascii="Garamond" w:hAnsi="Garamond"/>
          <w:sz w:val="24"/>
          <w:szCs w:val="24"/>
        </w:rPr>
        <w:t xml:space="preserve">. </w:t>
      </w:r>
      <w:r w:rsidR="001E2E6A">
        <w:rPr>
          <w:rFonts w:ascii="Garamond" w:hAnsi="Garamond"/>
          <w:sz w:val="24"/>
          <w:szCs w:val="24"/>
        </w:rPr>
        <w:t>M</w:t>
      </w:r>
      <w:r w:rsidRPr="00A315E5">
        <w:rPr>
          <w:rFonts w:ascii="Garamond" w:hAnsi="Garamond"/>
          <w:sz w:val="24"/>
          <w:szCs w:val="24"/>
        </w:rPr>
        <w:t xml:space="preserve">uligt tiltag for at løse problemet med </w:t>
      </w:r>
      <w:r w:rsidR="006B745D">
        <w:rPr>
          <w:rFonts w:ascii="Garamond" w:hAnsi="Garamond"/>
          <w:sz w:val="24"/>
          <w:szCs w:val="24"/>
        </w:rPr>
        <w:t>tilbage</w:t>
      </w:r>
      <w:r w:rsidRPr="00A315E5">
        <w:rPr>
          <w:rFonts w:ascii="Garamond" w:hAnsi="Garamond"/>
          <w:sz w:val="24"/>
          <w:szCs w:val="24"/>
        </w:rPr>
        <w:t>betaling</w:t>
      </w:r>
      <w:r w:rsidR="006B745D">
        <w:rPr>
          <w:rFonts w:ascii="Garamond" w:hAnsi="Garamond"/>
          <w:sz w:val="24"/>
          <w:szCs w:val="24"/>
        </w:rPr>
        <w:t>skonstruktionen</w:t>
      </w:r>
      <w:r w:rsidR="001E2E6A">
        <w:rPr>
          <w:rFonts w:ascii="Garamond" w:hAnsi="Garamond"/>
          <w:sz w:val="24"/>
          <w:szCs w:val="24"/>
        </w:rPr>
        <w:t xml:space="preserve"> fremgår nedenfor</w:t>
      </w:r>
      <w:r>
        <w:rPr>
          <w:rFonts w:ascii="Garamond" w:hAnsi="Garamond"/>
          <w:sz w:val="24"/>
          <w:szCs w:val="24"/>
        </w:rPr>
        <w:t xml:space="preserve">. </w:t>
      </w:r>
    </w:p>
    <w:p w:rsidR="009A562C" w:rsidRPr="001B7D57" w:rsidRDefault="001B7D57" w:rsidP="001B7D57">
      <w:pPr>
        <w:spacing w:after="0"/>
        <w:jc w:val="both"/>
        <w:rPr>
          <w:rFonts w:ascii="Garamond" w:hAnsi="Garamond"/>
          <w:i/>
          <w:sz w:val="24"/>
          <w:szCs w:val="24"/>
        </w:rPr>
      </w:pPr>
      <w:r w:rsidRPr="001B7D57">
        <w:rPr>
          <w:rFonts w:ascii="Garamond" w:hAnsi="Garamond"/>
          <w:i/>
          <w:sz w:val="24"/>
          <w:szCs w:val="24"/>
        </w:rPr>
        <w:t>Ændring af tilbagebetalingen</w:t>
      </w:r>
    </w:p>
    <w:p w:rsidR="00132751" w:rsidRPr="00132751" w:rsidRDefault="00132751" w:rsidP="00013753">
      <w:pPr>
        <w:jc w:val="both"/>
        <w:rPr>
          <w:rFonts w:ascii="Garamond" w:hAnsi="Garamond"/>
          <w:sz w:val="24"/>
          <w:szCs w:val="24"/>
        </w:rPr>
      </w:pPr>
      <w:r w:rsidRPr="00132751">
        <w:rPr>
          <w:rFonts w:ascii="Garamond" w:hAnsi="Garamond"/>
          <w:sz w:val="24"/>
          <w:szCs w:val="24"/>
        </w:rPr>
        <w:t xml:space="preserve">Efter den nuværende ordning er kommunerne under ét sikret finansiering i henhold til det fastlagte KMF-loft. Kommunal medfinansiering udover loftet opsamles af staten, og den del, der kan henføres til øget produktivitet i regionerne tilbagebetales til kommuner under ét. Beløbet fordeles mellem alle kommuner via en forhøjelse af bloktilskuddet, dvs. efter den enkelte kommunes andel af befolkningstallet. </w:t>
      </w:r>
    </w:p>
    <w:p w:rsidR="00132751" w:rsidRPr="00132751" w:rsidRDefault="00132751" w:rsidP="00013753">
      <w:pPr>
        <w:jc w:val="both"/>
        <w:rPr>
          <w:rFonts w:ascii="Garamond" w:hAnsi="Garamond"/>
          <w:sz w:val="24"/>
          <w:szCs w:val="24"/>
        </w:rPr>
      </w:pPr>
      <w:r w:rsidRPr="00132751">
        <w:rPr>
          <w:rFonts w:ascii="Garamond" w:hAnsi="Garamond"/>
          <w:sz w:val="24"/>
          <w:szCs w:val="24"/>
        </w:rPr>
        <w:t>Tilbagebetalingen udgør således summen af medfinansieringen fra kommunerne i de enkelte regioner.</w:t>
      </w:r>
    </w:p>
    <w:p w:rsidR="00132751" w:rsidRPr="00132751" w:rsidRDefault="00132751" w:rsidP="0017212C">
      <w:pPr>
        <w:spacing w:after="0"/>
        <w:jc w:val="both"/>
        <w:rPr>
          <w:rFonts w:ascii="Garamond" w:hAnsi="Garamond"/>
          <w:sz w:val="24"/>
          <w:szCs w:val="24"/>
        </w:rPr>
      </w:pPr>
      <w:r w:rsidRPr="00132751">
        <w:rPr>
          <w:rFonts w:ascii="Garamond" w:hAnsi="Garamond"/>
          <w:sz w:val="24"/>
          <w:szCs w:val="24"/>
        </w:rPr>
        <w:t>Under forudsætning af budgetoverholdelse af de regionale sundhedsopgaver, indebærer den eksisterende konstruktion følgende principper:</w:t>
      </w:r>
    </w:p>
    <w:p w:rsidR="00DF03B4" w:rsidRDefault="00DF03B4" w:rsidP="0017212C">
      <w:pPr>
        <w:pStyle w:val="Listeafsnit"/>
        <w:numPr>
          <w:ilvl w:val="0"/>
          <w:numId w:val="4"/>
        </w:numPr>
        <w:spacing w:line="276" w:lineRule="auto"/>
        <w:jc w:val="both"/>
      </w:pPr>
      <w:r>
        <w:t xml:space="preserve">Kommunerne er under ét sikret fuld finansiering til de samlede udgifter til KMF. </w:t>
      </w:r>
    </w:p>
    <w:p w:rsidR="00DF03B4" w:rsidRDefault="00DF03B4" w:rsidP="0017212C">
      <w:pPr>
        <w:pStyle w:val="Listeafsnit"/>
        <w:numPr>
          <w:ilvl w:val="0"/>
          <w:numId w:val="4"/>
        </w:numPr>
        <w:spacing w:line="276" w:lineRule="auto"/>
        <w:jc w:val="both"/>
      </w:pPr>
      <w:r>
        <w:t>Finansieringen af kommunerne sker over bloktilskuddet i budgetåret og en evt. tilbagebetaling sker efterfølgende også som bloktilskud.</w:t>
      </w:r>
    </w:p>
    <w:p w:rsidR="00132751" w:rsidRDefault="00132751" w:rsidP="0017212C">
      <w:pPr>
        <w:spacing w:after="0"/>
        <w:jc w:val="both"/>
      </w:pPr>
    </w:p>
    <w:p w:rsidR="00132751" w:rsidRPr="00132751" w:rsidRDefault="00132751" w:rsidP="00013753">
      <w:pPr>
        <w:jc w:val="both"/>
        <w:rPr>
          <w:rFonts w:ascii="Garamond" w:hAnsi="Garamond"/>
          <w:sz w:val="24"/>
          <w:szCs w:val="24"/>
        </w:rPr>
      </w:pPr>
      <w:r w:rsidRPr="00132751">
        <w:rPr>
          <w:rFonts w:ascii="Garamond" w:hAnsi="Garamond"/>
          <w:sz w:val="24"/>
          <w:szCs w:val="24"/>
        </w:rPr>
        <w:t>Fastlæggelsen af tilbagebetalingen</w:t>
      </w:r>
      <w:r w:rsidR="00DF03B4">
        <w:rPr>
          <w:rFonts w:ascii="Garamond" w:hAnsi="Garamond"/>
          <w:sz w:val="24"/>
          <w:szCs w:val="24"/>
        </w:rPr>
        <w:t>s størrelse</w:t>
      </w:r>
      <w:r w:rsidRPr="00132751">
        <w:rPr>
          <w:rFonts w:ascii="Garamond" w:hAnsi="Garamond"/>
          <w:sz w:val="24"/>
          <w:szCs w:val="24"/>
        </w:rPr>
        <w:t xml:space="preserve"> foretages af sundheds-</w:t>
      </w:r>
      <w:r w:rsidR="00C06E9F">
        <w:rPr>
          <w:rFonts w:ascii="Garamond" w:hAnsi="Garamond"/>
          <w:sz w:val="24"/>
          <w:szCs w:val="24"/>
        </w:rPr>
        <w:t xml:space="preserve"> og</w:t>
      </w:r>
      <w:r w:rsidRPr="00132751">
        <w:rPr>
          <w:rFonts w:ascii="Garamond" w:hAnsi="Garamond"/>
          <w:sz w:val="24"/>
          <w:szCs w:val="24"/>
        </w:rPr>
        <w:t xml:space="preserve"> ældreministeren senest 1. juli i året efter regnskabsåret. Den gennemføres via en regulering af det kommunale bloktilskud i budgetårets tre sidste måneder.</w:t>
      </w:r>
    </w:p>
    <w:p w:rsidR="00A315E5" w:rsidRDefault="00132751" w:rsidP="00013753">
      <w:pPr>
        <w:jc w:val="both"/>
        <w:rPr>
          <w:rFonts w:ascii="Garamond" w:hAnsi="Garamond"/>
          <w:sz w:val="24"/>
          <w:szCs w:val="24"/>
        </w:rPr>
      </w:pPr>
      <w:r w:rsidRPr="00132751">
        <w:rPr>
          <w:rFonts w:ascii="Garamond" w:hAnsi="Garamond"/>
          <w:sz w:val="24"/>
          <w:szCs w:val="24"/>
        </w:rPr>
        <w:t>I 2013 og 2014 blev hhv.</w:t>
      </w:r>
      <w:r w:rsidR="001B7D57">
        <w:rPr>
          <w:rFonts w:ascii="Garamond" w:hAnsi="Garamond"/>
          <w:sz w:val="24"/>
          <w:szCs w:val="24"/>
        </w:rPr>
        <w:t xml:space="preserve"> ca. </w:t>
      </w:r>
      <w:r w:rsidRPr="00132751">
        <w:rPr>
          <w:rFonts w:ascii="Garamond" w:hAnsi="Garamond"/>
          <w:sz w:val="24"/>
          <w:szCs w:val="24"/>
        </w:rPr>
        <w:t>400 og 700 mio. kr. tilbageført til kommunerne under ét (i de respektive år efter</w:t>
      </w:r>
      <w:r w:rsidR="00BA3DFA">
        <w:rPr>
          <w:rFonts w:ascii="Garamond" w:hAnsi="Garamond"/>
          <w:sz w:val="24"/>
          <w:szCs w:val="24"/>
        </w:rPr>
        <w:t>)</w:t>
      </w:r>
      <w:r w:rsidR="001E2E6A">
        <w:rPr>
          <w:rFonts w:ascii="Garamond" w:hAnsi="Garamond"/>
          <w:sz w:val="24"/>
          <w:szCs w:val="24"/>
        </w:rPr>
        <w:t xml:space="preserve">, </w:t>
      </w:r>
      <w:r w:rsidR="001E2E6A" w:rsidRPr="001E2E6A">
        <w:rPr>
          <w:rFonts w:ascii="Garamond" w:hAnsi="Garamond"/>
          <w:i/>
          <w:sz w:val="24"/>
          <w:szCs w:val="24"/>
        </w:rPr>
        <w:t>jf. tabel 6.1</w:t>
      </w:r>
      <w:r w:rsidRPr="00132751">
        <w:rPr>
          <w:rFonts w:ascii="Garamond" w:hAnsi="Garamond"/>
          <w:sz w:val="24"/>
          <w:szCs w:val="24"/>
        </w:rPr>
        <w:t xml:space="preserve">. Alle kommunerne har fået del i denne </w:t>
      </w:r>
      <w:r w:rsidR="00DF03B4">
        <w:rPr>
          <w:rFonts w:ascii="Garamond" w:hAnsi="Garamond"/>
          <w:sz w:val="24"/>
          <w:szCs w:val="24"/>
        </w:rPr>
        <w:t>tilbagebetaling</w:t>
      </w:r>
      <w:r w:rsidRPr="00132751">
        <w:rPr>
          <w:rFonts w:ascii="Garamond" w:hAnsi="Garamond"/>
          <w:sz w:val="24"/>
          <w:szCs w:val="24"/>
        </w:rPr>
        <w:t xml:space="preserve">. </w:t>
      </w:r>
    </w:p>
    <w:p w:rsidR="00BA3DFA" w:rsidRPr="00BE2AF4" w:rsidRDefault="00BA3DFA" w:rsidP="00BA3DFA">
      <w:pPr>
        <w:jc w:val="both"/>
        <w:rPr>
          <w:rFonts w:ascii="Garamond" w:hAnsi="Garamond"/>
          <w:i/>
          <w:sz w:val="24"/>
          <w:szCs w:val="24"/>
        </w:rPr>
      </w:pPr>
      <w:r>
        <w:rPr>
          <w:rFonts w:ascii="Garamond" w:hAnsi="Garamond"/>
          <w:sz w:val="24"/>
          <w:szCs w:val="24"/>
        </w:rPr>
        <w:t>Som det fremgår af tabel 6.1 fluktuerer d</w:t>
      </w:r>
      <w:r w:rsidRPr="006E4429">
        <w:rPr>
          <w:rFonts w:ascii="Garamond" w:hAnsi="Garamond"/>
          <w:sz w:val="24"/>
          <w:szCs w:val="24"/>
        </w:rPr>
        <w:t>e overskydende KMF-udgifter (og dermed også fordelingen af t</w:t>
      </w:r>
      <w:r>
        <w:rPr>
          <w:rFonts w:ascii="Garamond" w:hAnsi="Garamond"/>
          <w:sz w:val="24"/>
          <w:szCs w:val="24"/>
        </w:rPr>
        <w:t>ilb</w:t>
      </w:r>
      <w:r w:rsidRPr="006E4429">
        <w:rPr>
          <w:rFonts w:ascii="Garamond" w:hAnsi="Garamond"/>
          <w:sz w:val="24"/>
          <w:szCs w:val="24"/>
        </w:rPr>
        <w:t xml:space="preserve">agebetalingen) årligt. I 2015 </w:t>
      </w:r>
      <w:r>
        <w:rPr>
          <w:rFonts w:ascii="Garamond" w:hAnsi="Garamond"/>
          <w:sz w:val="24"/>
          <w:szCs w:val="24"/>
        </w:rPr>
        <w:t>nåede samtlige regioner deres indlægtsloft</w:t>
      </w:r>
      <w:r w:rsidRPr="006E4429">
        <w:rPr>
          <w:rFonts w:ascii="Garamond" w:hAnsi="Garamond"/>
          <w:sz w:val="24"/>
          <w:szCs w:val="24"/>
        </w:rPr>
        <w:t>,</w:t>
      </w:r>
      <w:r>
        <w:rPr>
          <w:rFonts w:ascii="Garamond" w:hAnsi="Garamond"/>
          <w:sz w:val="24"/>
          <w:szCs w:val="24"/>
        </w:rPr>
        <w:t xml:space="preserve"> mens det i 2013 alene var Region Syddanmark, Region Sjælland og Region Hovedstaden der nåede loftet</w:t>
      </w:r>
      <w:r w:rsidRPr="00BE2AF4">
        <w:rPr>
          <w:rFonts w:ascii="Garamond" w:hAnsi="Garamond"/>
          <w:i/>
          <w:sz w:val="24"/>
          <w:szCs w:val="24"/>
        </w:rPr>
        <w:t xml:space="preserve">.  </w:t>
      </w:r>
    </w:p>
    <w:p w:rsidR="00BA3DFA" w:rsidRDefault="00BA3DFA" w:rsidP="00BA3DFA">
      <w:pPr>
        <w:jc w:val="both"/>
        <w:rPr>
          <w:rFonts w:ascii="Garamond" w:hAnsi="Garamond"/>
          <w:color w:val="000000"/>
        </w:rPr>
      </w:pPr>
    </w:p>
    <w:p w:rsidR="0017212C" w:rsidRDefault="0017212C">
      <w:pPr>
        <w:rPr>
          <w:rFonts w:ascii="Garamond" w:hAnsi="Garamond"/>
          <w:color w:val="000000"/>
        </w:rPr>
      </w:pPr>
      <w:r>
        <w:rPr>
          <w:rFonts w:ascii="Garamond" w:hAnsi="Garamond"/>
          <w:color w:val="000000"/>
        </w:rPr>
        <w:br w:type="page"/>
      </w:r>
    </w:p>
    <w:p w:rsidR="00BA3DFA" w:rsidRDefault="00BA3DFA" w:rsidP="00BA3DFA">
      <w:pPr>
        <w:jc w:val="both"/>
        <w:rPr>
          <w:rFonts w:ascii="Garamond" w:hAnsi="Garamond"/>
          <w:color w:val="000000"/>
        </w:rPr>
      </w:pPr>
    </w:p>
    <w:tbl>
      <w:tblPr>
        <w:tblW w:w="5000" w:type="pct"/>
        <w:tblCellMar>
          <w:left w:w="0" w:type="dxa"/>
          <w:right w:w="0" w:type="dxa"/>
        </w:tblCellMar>
        <w:tblLook w:val="04A0" w:firstRow="1" w:lastRow="0" w:firstColumn="1" w:lastColumn="0" w:noHBand="0" w:noVBand="1"/>
      </w:tblPr>
      <w:tblGrid>
        <w:gridCol w:w="1722"/>
        <w:gridCol w:w="1442"/>
        <w:gridCol w:w="1484"/>
        <w:gridCol w:w="1433"/>
        <w:gridCol w:w="1430"/>
      </w:tblGrid>
      <w:tr w:rsidR="00BA3DFA" w:rsidTr="008E796A">
        <w:trPr>
          <w:trHeight w:val="116"/>
        </w:trPr>
        <w:tc>
          <w:tcPr>
            <w:tcW w:w="5000" w:type="pct"/>
            <w:gridSpan w:val="5"/>
            <w:tcBorders>
              <w:top w:val="single" w:sz="12" w:space="0" w:color="auto"/>
              <w:left w:val="nil"/>
              <w:bottom w:val="nil"/>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b/>
                <w:bCs/>
                <w:color w:val="000000"/>
                <w:sz w:val="14"/>
                <w:szCs w:val="14"/>
                <w:lang w:eastAsia="da-DK"/>
              </w:rPr>
            </w:pPr>
            <w:r>
              <w:rPr>
                <w:rFonts w:ascii="Arial" w:hAnsi="Arial" w:cs="Arial"/>
                <w:b/>
                <w:bCs/>
                <w:color w:val="000000"/>
                <w:sz w:val="14"/>
                <w:szCs w:val="14"/>
                <w:lang w:eastAsia="da-DK"/>
              </w:rPr>
              <w:t>Tabel 6.1</w:t>
            </w:r>
          </w:p>
        </w:tc>
      </w:tr>
      <w:tr w:rsidR="00BA3DFA" w:rsidTr="008E796A">
        <w:trPr>
          <w:trHeight w:val="74"/>
        </w:trPr>
        <w:tc>
          <w:tcPr>
            <w:tcW w:w="5000" w:type="pct"/>
            <w:gridSpan w:val="5"/>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b/>
                <w:bCs/>
                <w:color w:val="000000"/>
                <w:sz w:val="14"/>
                <w:szCs w:val="14"/>
                <w:lang w:eastAsia="da-DK"/>
              </w:rPr>
            </w:pPr>
            <w:r>
              <w:rPr>
                <w:rFonts w:ascii="Arial" w:hAnsi="Arial" w:cs="Arial"/>
                <w:b/>
                <w:bCs/>
                <w:color w:val="000000"/>
                <w:sz w:val="14"/>
                <w:szCs w:val="14"/>
                <w:lang w:eastAsia="da-DK"/>
              </w:rPr>
              <w:t>Den kommunale medfinansiering af det regionale sundhedsvæsen ud over indtægtsloft, 2012-2015</w:t>
            </w:r>
          </w:p>
        </w:tc>
      </w:tr>
      <w:tr w:rsidR="00BA3DFA" w:rsidTr="008E796A">
        <w:trPr>
          <w:trHeight w:val="259"/>
        </w:trPr>
        <w:tc>
          <w:tcPr>
            <w:tcW w:w="1146" w:type="pct"/>
            <w:tcBorders>
              <w:top w:val="single" w:sz="8" w:space="0" w:color="auto"/>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Mio.kr. årets pl</w:t>
            </w:r>
          </w:p>
        </w:tc>
        <w:tc>
          <w:tcPr>
            <w:tcW w:w="960"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2012</w:t>
            </w:r>
          </w:p>
        </w:tc>
        <w:tc>
          <w:tcPr>
            <w:tcW w:w="988"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2013</w:t>
            </w:r>
          </w:p>
        </w:tc>
        <w:tc>
          <w:tcPr>
            <w:tcW w:w="954"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2014</w:t>
            </w:r>
          </w:p>
        </w:tc>
        <w:tc>
          <w:tcPr>
            <w:tcW w:w="953" w:type="pct"/>
            <w:tcBorders>
              <w:top w:val="single" w:sz="8" w:space="0" w:color="auto"/>
              <w:left w:val="nil"/>
              <w:bottom w:val="single" w:sz="8" w:space="0" w:color="auto"/>
              <w:right w:val="nil"/>
            </w:tcBorders>
            <w:shd w:val="clear" w:color="auto" w:fill="E9EFEC"/>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2015</w:t>
            </w:r>
          </w:p>
        </w:tc>
      </w:tr>
      <w:tr w:rsidR="00BA3DFA" w:rsidTr="008E796A">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Region Nordjylland</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w:t>
            </w: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w:t>
            </w:r>
          </w:p>
        </w:tc>
        <w:tc>
          <w:tcPr>
            <w:tcW w:w="953"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49 </w:t>
            </w:r>
          </w:p>
        </w:tc>
      </w:tr>
      <w:tr w:rsidR="00BA3DFA" w:rsidTr="008E796A">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Region Midtjylland</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w:t>
            </w: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125 </w:t>
            </w:r>
          </w:p>
        </w:tc>
        <w:tc>
          <w:tcPr>
            <w:tcW w:w="953"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203 </w:t>
            </w:r>
          </w:p>
        </w:tc>
      </w:tr>
      <w:tr w:rsidR="00BA3DFA" w:rsidTr="008E796A">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Region Syddanmark</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32 </w:t>
            </w: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67 </w:t>
            </w:r>
          </w:p>
        </w:tc>
        <w:tc>
          <w:tcPr>
            <w:tcW w:w="953"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84 </w:t>
            </w:r>
          </w:p>
        </w:tc>
      </w:tr>
      <w:tr w:rsidR="00BA3DFA" w:rsidTr="008E796A">
        <w:trPr>
          <w:trHeight w:val="259"/>
        </w:trPr>
        <w:tc>
          <w:tcPr>
            <w:tcW w:w="1146"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Region Hovedstaden</w:t>
            </w:r>
          </w:p>
        </w:tc>
        <w:tc>
          <w:tcPr>
            <w:tcW w:w="960" w:type="pct"/>
            <w:tcBorders>
              <w:top w:val="nil"/>
              <w:left w:val="nil"/>
              <w:bottom w:val="single" w:sz="8" w:space="0" w:color="E9EFEC"/>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p>
        </w:tc>
        <w:tc>
          <w:tcPr>
            <w:tcW w:w="988"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245 </w:t>
            </w:r>
          </w:p>
        </w:tc>
        <w:tc>
          <w:tcPr>
            <w:tcW w:w="954"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332 </w:t>
            </w:r>
          </w:p>
        </w:tc>
        <w:tc>
          <w:tcPr>
            <w:tcW w:w="953" w:type="pct"/>
            <w:tcBorders>
              <w:top w:val="nil"/>
              <w:left w:val="nil"/>
              <w:bottom w:val="single" w:sz="8" w:space="0" w:color="E9EFEC"/>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324 </w:t>
            </w:r>
          </w:p>
        </w:tc>
      </w:tr>
      <w:tr w:rsidR="00BA3DFA" w:rsidTr="008E796A">
        <w:trPr>
          <w:trHeight w:val="259"/>
        </w:trPr>
        <w:tc>
          <w:tcPr>
            <w:tcW w:w="1146"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Region Sjælland</w:t>
            </w:r>
          </w:p>
        </w:tc>
        <w:tc>
          <w:tcPr>
            <w:tcW w:w="960" w:type="pct"/>
            <w:tcBorders>
              <w:top w:val="nil"/>
              <w:left w:val="nil"/>
              <w:bottom w:val="single" w:sz="8" w:space="0" w:color="auto"/>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p>
        </w:tc>
        <w:tc>
          <w:tcPr>
            <w:tcW w:w="988"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116 </w:t>
            </w:r>
          </w:p>
        </w:tc>
        <w:tc>
          <w:tcPr>
            <w:tcW w:w="954"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143 </w:t>
            </w:r>
          </w:p>
        </w:tc>
        <w:tc>
          <w:tcPr>
            <w:tcW w:w="953"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214 </w:t>
            </w:r>
          </w:p>
        </w:tc>
      </w:tr>
      <w:tr w:rsidR="00BA3DFA" w:rsidTr="008E796A">
        <w:trPr>
          <w:trHeight w:val="259"/>
        </w:trPr>
        <w:tc>
          <w:tcPr>
            <w:tcW w:w="1146"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rPr>
                <w:rFonts w:ascii="Arial" w:hAnsi="Arial" w:cs="Arial"/>
                <w:color w:val="000000"/>
                <w:sz w:val="14"/>
                <w:szCs w:val="14"/>
                <w:lang w:eastAsia="da-DK"/>
              </w:rPr>
            </w:pPr>
            <w:r>
              <w:rPr>
                <w:rFonts w:ascii="Arial" w:hAnsi="Arial" w:cs="Arial"/>
                <w:color w:val="000000"/>
                <w:sz w:val="14"/>
                <w:szCs w:val="14"/>
                <w:lang w:eastAsia="da-DK"/>
              </w:rPr>
              <w:t>Hele landet</w:t>
            </w:r>
          </w:p>
        </w:tc>
        <w:tc>
          <w:tcPr>
            <w:tcW w:w="960" w:type="pct"/>
            <w:tcBorders>
              <w:top w:val="nil"/>
              <w:left w:val="nil"/>
              <w:bottom w:val="single" w:sz="8" w:space="0" w:color="auto"/>
              <w:right w:val="nil"/>
            </w:tcBorders>
            <w:shd w:val="clear" w:color="auto" w:fill="E9EFEC"/>
            <w:noWrap/>
            <w:tcMar>
              <w:top w:w="0" w:type="dxa"/>
              <w:left w:w="70" w:type="dxa"/>
              <w:bottom w:w="0" w:type="dxa"/>
              <w:right w:w="70" w:type="dxa"/>
            </w:tcMar>
            <w:vAlign w:val="bottom"/>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0</w:t>
            </w:r>
          </w:p>
        </w:tc>
        <w:tc>
          <w:tcPr>
            <w:tcW w:w="988"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392 </w:t>
            </w:r>
          </w:p>
        </w:tc>
        <w:tc>
          <w:tcPr>
            <w:tcW w:w="954"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667 </w:t>
            </w:r>
          </w:p>
        </w:tc>
        <w:tc>
          <w:tcPr>
            <w:tcW w:w="953" w:type="pct"/>
            <w:tcBorders>
              <w:top w:val="nil"/>
              <w:left w:val="nil"/>
              <w:bottom w:val="single" w:sz="8" w:space="0" w:color="auto"/>
              <w:right w:val="nil"/>
            </w:tcBorders>
            <w:shd w:val="clear" w:color="auto" w:fill="E9EFEC"/>
            <w:noWrap/>
            <w:tcMar>
              <w:top w:w="0" w:type="dxa"/>
              <w:left w:w="70" w:type="dxa"/>
              <w:bottom w:w="0" w:type="dxa"/>
              <w:right w:w="70" w:type="dxa"/>
            </w:tcMar>
            <w:vAlign w:val="bottom"/>
            <w:hideMark/>
          </w:tcPr>
          <w:p w:rsidR="00BA3DFA" w:rsidRDefault="00BA3DFA" w:rsidP="008E796A">
            <w:pPr>
              <w:spacing w:after="0"/>
              <w:jc w:val="right"/>
              <w:rPr>
                <w:rFonts w:ascii="Arial" w:hAnsi="Arial" w:cs="Arial"/>
                <w:color w:val="000000"/>
                <w:sz w:val="14"/>
                <w:szCs w:val="14"/>
                <w:lang w:eastAsia="da-DK"/>
              </w:rPr>
            </w:pPr>
            <w:r>
              <w:rPr>
                <w:rFonts w:ascii="Arial" w:hAnsi="Arial" w:cs="Arial"/>
                <w:color w:val="000000"/>
                <w:sz w:val="14"/>
                <w:szCs w:val="14"/>
                <w:lang w:eastAsia="da-DK"/>
              </w:rPr>
              <w:t xml:space="preserve">                     873 </w:t>
            </w:r>
          </w:p>
        </w:tc>
      </w:tr>
      <w:tr w:rsidR="00BA3DFA" w:rsidRPr="006B629C" w:rsidTr="008E796A">
        <w:trPr>
          <w:trHeight w:val="188"/>
        </w:trPr>
        <w:tc>
          <w:tcPr>
            <w:tcW w:w="5000" w:type="pct"/>
            <w:gridSpan w:val="5"/>
            <w:tcBorders>
              <w:top w:val="nil"/>
              <w:left w:val="nil"/>
              <w:bottom w:val="single" w:sz="12" w:space="0" w:color="auto"/>
              <w:right w:val="nil"/>
            </w:tcBorders>
            <w:shd w:val="clear" w:color="auto" w:fill="E9EFEC"/>
            <w:noWrap/>
            <w:tcMar>
              <w:top w:w="0" w:type="dxa"/>
              <w:left w:w="70" w:type="dxa"/>
              <w:bottom w:w="0" w:type="dxa"/>
              <w:right w:w="70" w:type="dxa"/>
            </w:tcMar>
            <w:vAlign w:val="bottom"/>
            <w:hideMark/>
          </w:tcPr>
          <w:p w:rsidR="00BA3DFA" w:rsidRPr="006B629C" w:rsidRDefault="00BA3DFA" w:rsidP="008E796A">
            <w:pPr>
              <w:spacing w:after="0"/>
              <w:rPr>
                <w:rFonts w:cs="Arial"/>
                <w:color w:val="000000"/>
                <w:sz w:val="12"/>
                <w:szCs w:val="12"/>
                <w:lang w:eastAsia="da-DK"/>
              </w:rPr>
            </w:pPr>
            <w:r w:rsidRPr="006B745D">
              <w:rPr>
                <w:rFonts w:cs="Arial"/>
                <w:color w:val="000000"/>
                <w:sz w:val="12"/>
                <w:szCs w:val="12"/>
                <w:lang w:eastAsia="da-DK"/>
              </w:rPr>
              <w:t>Kilde: Sundheds- og Ældreministeriet</w:t>
            </w:r>
          </w:p>
        </w:tc>
      </w:tr>
    </w:tbl>
    <w:p w:rsidR="00BA3DFA" w:rsidRDefault="00BA3DFA" w:rsidP="00BA3DFA">
      <w:pPr>
        <w:spacing w:after="0"/>
        <w:jc w:val="both"/>
        <w:rPr>
          <w:rFonts w:ascii="Garamond" w:hAnsi="Garamond"/>
          <w:color w:val="000000"/>
        </w:rPr>
      </w:pPr>
    </w:p>
    <w:p w:rsidR="00843846" w:rsidRPr="00FD3510" w:rsidRDefault="006B745D" w:rsidP="00BA3DFA">
      <w:pPr>
        <w:rPr>
          <w:rFonts w:ascii="Garamond" w:hAnsi="Garamond"/>
          <w:sz w:val="24"/>
          <w:szCs w:val="24"/>
        </w:rPr>
      </w:pPr>
      <w:r>
        <w:rPr>
          <w:rFonts w:ascii="Garamond" w:hAnsi="Garamond"/>
          <w:sz w:val="24"/>
          <w:szCs w:val="24"/>
        </w:rPr>
        <w:t>Tilbagebetalingsk</w:t>
      </w:r>
      <w:r w:rsidR="00132751" w:rsidRPr="00132751">
        <w:rPr>
          <w:rFonts w:ascii="Garamond" w:hAnsi="Garamond"/>
          <w:sz w:val="24"/>
          <w:szCs w:val="24"/>
        </w:rPr>
        <w:t xml:space="preserve">onstruktionen har givet </w:t>
      </w:r>
      <w:r w:rsidR="00132751" w:rsidRPr="00351954">
        <w:rPr>
          <w:rFonts w:ascii="Garamond" w:hAnsi="Garamond"/>
          <w:sz w:val="24"/>
          <w:szCs w:val="24"/>
        </w:rPr>
        <w:t xml:space="preserve">anledning til en </w:t>
      </w:r>
      <w:r w:rsidR="00697746" w:rsidRPr="00351954">
        <w:rPr>
          <w:rFonts w:ascii="Garamond" w:hAnsi="Garamond"/>
          <w:sz w:val="24"/>
          <w:szCs w:val="24"/>
        </w:rPr>
        <w:t xml:space="preserve">vis budgetusikkerhed samt en </w:t>
      </w:r>
      <w:r w:rsidR="00132751" w:rsidRPr="00351954">
        <w:rPr>
          <w:rFonts w:ascii="Garamond" w:hAnsi="Garamond"/>
          <w:sz w:val="24"/>
          <w:szCs w:val="24"/>
        </w:rPr>
        <w:t>opfatte</w:t>
      </w:r>
      <w:r w:rsidR="00697746" w:rsidRPr="00351954">
        <w:rPr>
          <w:rFonts w:ascii="Garamond" w:hAnsi="Garamond"/>
          <w:sz w:val="24"/>
          <w:szCs w:val="24"/>
        </w:rPr>
        <w:t>lse af</w:t>
      </w:r>
      <w:r w:rsidR="00132751" w:rsidRPr="00351954">
        <w:rPr>
          <w:rFonts w:ascii="Garamond" w:hAnsi="Garamond"/>
          <w:sz w:val="24"/>
          <w:szCs w:val="24"/>
        </w:rPr>
        <w:t xml:space="preserve"> urimelighed, idet det på tilbagebetalings-tidspunktet er kendt</w:t>
      </w:r>
      <w:r w:rsidR="00DF03B4" w:rsidRPr="00351954">
        <w:rPr>
          <w:rFonts w:ascii="Garamond" w:hAnsi="Garamond"/>
          <w:sz w:val="24"/>
          <w:szCs w:val="24"/>
        </w:rPr>
        <w:t xml:space="preserve"> i </w:t>
      </w:r>
      <w:r w:rsidR="00132751" w:rsidRPr="00351954">
        <w:rPr>
          <w:rFonts w:ascii="Garamond" w:hAnsi="Garamond"/>
          <w:sz w:val="24"/>
          <w:szCs w:val="24"/>
        </w:rPr>
        <w:t xml:space="preserve">hvilke </w:t>
      </w:r>
      <w:r w:rsidR="00DF03B4" w:rsidRPr="00351954">
        <w:rPr>
          <w:rFonts w:ascii="Garamond" w:hAnsi="Garamond"/>
          <w:sz w:val="24"/>
          <w:szCs w:val="24"/>
        </w:rPr>
        <w:t xml:space="preserve">regioner, der er </w:t>
      </w:r>
      <w:r w:rsidR="00132751" w:rsidRPr="00351954">
        <w:rPr>
          <w:rFonts w:ascii="Garamond" w:hAnsi="Garamond"/>
          <w:sz w:val="24"/>
          <w:szCs w:val="24"/>
        </w:rPr>
        <w:t>kommuner</w:t>
      </w:r>
      <w:r w:rsidR="00DF03B4" w:rsidRPr="00351954">
        <w:rPr>
          <w:rFonts w:ascii="Garamond" w:hAnsi="Garamond"/>
          <w:sz w:val="24"/>
          <w:szCs w:val="24"/>
        </w:rPr>
        <w:t>,</w:t>
      </w:r>
      <w:r w:rsidR="00132751" w:rsidRPr="00351954">
        <w:rPr>
          <w:rFonts w:ascii="Garamond" w:hAnsi="Garamond"/>
          <w:sz w:val="24"/>
          <w:szCs w:val="24"/>
        </w:rPr>
        <w:t xml:space="preserve"> som </w:t>
      </w:r>
      <w:r w:rsidR="00132751" w:rsidRPr="00132751">
        <w:rPr>
          <w:rFonts w:ascii="Garamond" w:hAnsi="Garamond"/>
          <w:sz w:val="24"/>
          <w:szCs w:val="24"/>
        </w:rPr>
        <w:t xml:space="preserve">har afholdt ekstraudgifter, og da </w:t>
      </w:r>
      <w:r w:rsidR="00132751" w:rsidRPr="00FD3510">
        <w:rPr>
          <w:rFonts w:ascii="Garamond" w:hAnsi="Garamond"/>
          <w:sz w:val="24"/>
          <w:szCs w:val="24"/>
        </w:rPr>
        <w:t xml:space="preserve">disse er relativt skævt fordelt på regioner. </w:t>
      </w:r>
    </w:p>
    <w:p w:rsidR="006B745D" w:rsidRDefault="001B7D57" w:rsidP="00013753">
      <w:pPr>
        <w:jc w:val="both"/>
        <w:rPr>
          <w:rFonts w:ascii="Garamond" w:hAnsi="Garamond"/>
          <w:sz w:val="24"/>
          <w:szCs w:val="24"/>
        </w:rPr>
      </w:pPr>
      <w:r w:rsidRPr="00FD3510">
        <w:rPr>
          <w:rFonts w:ascii="Garamond" w:hAnsi="Garamond"/>
          <w:sz w:val="24"/>
          <w:szCs w:val="24"/>
        </w:rPr>
        <w:t xml:space="preserve">Et muligt tiltag </w:t>
      </w:r>
      <w:r w:rsidR="00A315E5" w:rsidRPr="00FD3510">
        <w:rPr>
          <w:rFonts w:ascii="Garamond" w:hAnsi="Garamond"/>
          <w:sz w:val="24"/>
          <w:szCs w:val="24"/>
        </w:rPr>
        <w:t xml:space="preserve">for at ændre tilbagebetalingen, </w:t>
      </w:r>
      <w:r w:rsidRPr="00FD3510">
        <w:rPr>
          <w:rFonts w:ascii="Garamond" w:hAnsi="Garamond"/>
          <w:sz w:val="24"/>
          <w:szCs w:val="24"/>
        </w:rPr>
        <w:t>er</w:t>
      </w:r>
      <w:r w:rsidR="00132751" w:rsidRPr="00FD3510">
        <w:rPr>
          <w:rFonts w:ascii="Garamond" w:hAnsi="Garamond"/>
          <w:sz w:val="24"/>
          <w:szCs w:val="24"/>
        </w:rPr>
        <w:t xml:space="preserve"> at </w:t>
      </w:r>
      <w:r w:rsidRPr="00FD3510">
        <w:rPr>
          <w:rFonts w:ascii="Garamond" w:hAnsi="Garamond"/>
          <w:sz w:val="24"/>
          <w:szCs w:val="24"/>
        </w:rPr>
        <w:t xml:space="preserve">ændre </w:t>
      </w:r>
      <w:r w:rsidR="006B745D">
        <w:rPr>
          <w:rFonts w:ascii="Garamond" w:hAnsi="Garamond"/>
          <w:sz w:val="24"/>
          <w:szCs w:val="24"/>
        </w:rPr>
        <w:t>k</w:t>
      </w:r>
      <w:r w:rsidR="006B745D" w:rsidRPr="00132751">
        <w:rPr>
          <w:rFonts w:ascii="Garamond" w:hAnsi="Garamond"/>
          <w:sz w:val="24"/>
          <w:szCs w:val="24"/>
        </w:rPr>
        <w:t>onstruktionen</w:t>
      </w:r>
      <w:r w:rsidR="00843846" w:rsidRPr="00FD3510">
        <w:rPr>
          <w:rFonts w:ascii="Garamond" w:hAnsi="Garamond"/>
          <w:sz w:val="24"/>
          <w:szCs w:val="24"/>
        </w:rPr>
        <w:t>,</w:t>
      </w:r>
      <w:r w:rsidR="00A315E5" w:rsidRPr="00FD3510">
        <w:rPr>
          <w:rFonts w:ascii="Garamond" w:hAnsi="Garamond"/>
          <w:sz w:val="24"/>
          <w:szCs w:val="24"/>
        </w:rPr>
        <w:t xml:space="preserve"> så </w:t>
      </w:r>
      <w:r w:rsidRPr="00FD3510">
        <w:rPr>
          <w:rFonts w:ascii="Garamond" w:hAnsi="Garamond"/>
          <w:sz w:val="24"/>
          <w:szCs w:val="24"/>
        </w:rPr>
        <w:t>overskydende KMF-udgifter fremadrettet sker til kommunerne inden for den region, som merbetalingen vedrører</w:t>
      </w:r>
      <w:r w:rsidR="00843846" w:rsidRPr="00FD3510">
        <w:rPr>
          <w:rFonts w:ascii="Garamond" w:hAnsi="Garamond"/>
          <w:sz w:val="24"/>
          <w:szCs w:val="24"/>
        </w:rPr>
        <w:t xml:space="preserve">. </w:t>
      </w:r>
      <w:r w:rsidR="006B745D" w:rsidRPr="00FD3510">
        <w:rPr>
          <w:rFonts w:ascii="Garamond" w:hAnsi="Garamond"/>
          <w:sz w:val="24"/>
          <w:szCs w:val="24"/>
        </w:rPr>
        <w:t xml:space="preserve">Inden for regionen fordeles beløbet efter kommunernes indbyggertal. Derved fastholdes det kommunale incitament i ordningen og ordningen svarer ikke til en 100 pct. refusion </w:t>
      </w:r>
    </w:p>
    <w:p w:rsidR="0017212C" w:rsidRDefault="00843846" w:rsidP="00FD3510">
      <w:pPr>
        <w:jc w:val="both"/>
        <w:rPr>
          <w:rFonts w:ascii="Garamond" w:hAnsi="Garamond"/>
          <w:sz w:val="24"/>
          <w:szCs w:val="24"/>
        </w:rPr>
      </w:pPr>
      <w:r w:rsidRPr="00FD3510">
        <w:rPr>
          <w:rFonts w:ascii="Garamond" w:hAnsi="Garamond"/>
          <w:sz w:val="24"/>
          <w:szCs w:val="24"/>
        </w:rPr>
        <w:t xml:space="preserve">Med ændringen vil </w:t>
      </w:r>
      <w:r w:rsidR="006B745D">
        <w:rPr>
          <w:rFonts w:ascii="Garamond" w:hAnsi="Garamond"/>
          <w:sz w:val="24"/>
          <w:szCs w:val="24"/>
        </w:rPr>
        <w:t xml:space="preserve">eventuelle kommunale </w:t>
      </w:r>
      <w:r w:rsidRPr="00FD3510">
        <w:rPr>
          <w:rFonts w:ascii="Garamond" w:hAnsi="Garamond"/>
          <w:sz w:val="24"/>
          <w:szCs w:val="24"/>
        </w:rPr>
        <w:t xml:space="preserve">merudgifter </w:t>
      </w:r>
      <w:r w:rsidR="00FD3510" w:rsidRPr="00FD3510">
        <w:rPr>
          <w:rFonts w:ascii="Garamond" w:hAnsi="Garamond"/>
          <w:sz w:val="24"/>
          <w:szCs w:val="24"/>
        </w:rPr>
        <w:t>i højere grad blive tilbageført til de kommuner, der har afholdt merudgifterne og mer</w:t>
      </w:r>
      <w:r w:rsidRPr="00FD3510">
        <w:rPr>
          <w:rFonts w:ascii="Garamond" w:hAnsi="Garamond"/>
          <w:sz w:val="24"/>
          <w:szCs w:val="24"/>
        </w:rPr>
        <w:t>udgifter fra kommuner i en region kan ikke tilbageføres til en kommune i en anden region.</w:t>
      </w:r>
      <w:r w:rsidR="006B745D">
        <w:rPr>
          <w:rFonts w:ascii="Garamond" w:hAnsi="Garamond"/>
          <w:sz w:val="24"/>
          <w:szCs w:val="24"/>
        </w:rPr>
        <w:t xml:space="preserve"> </w:t>
      </w:r>
    </w:p>
    <w:p w:rsidR="00FD3510" w:rsidRPr="00FD3510" w:rsidRDefault="006B745D" w:rsidP="00FD3510">
      <w:pPr>
        <w:jc w:val="both"/>
        <w:rPr>
          <w:rFonts w:ascii="Garamond" w:hAnsi="Garamond"/>
          <w:sz w:val="24"/>
          <w:szCs w:val="24"/>
        </w:rPr>
      </w:pPr>
      <w:r>
        <w:rPr>
          <w:rFonts w:ascii="Garamond" w:hAnsi="Garamond"/>
          <w:sz w:val="24"/>
          <w:szCs w:val="24"/>
        </w:rPr>
        <w:t>Ændringen</w:t>
      </w:r>
      <w:r w:rsidR="00FD3510" w:rsidRPr="00FD3510">
        <w:rPr>
          <w:rFonts w:ascii="Garamond" w:hAnsi="Garamond"/>
          <w:sz w:val="24"/>
          <w:szCs w:val="24"/>
        </w:rPr>
        <w:t xml:space="preserve"> vil gavne de kommuner</w:t>
      </w:r>
      <w:r w:rsidR="00DF03B4">
        <w:rPr>
          <w:rFonts w:ascii="Garamond" w:hAnsi="Garamond"/>
          <w:sz w:val="24"/>
          <w:szCs w:val="24"/>
        </w:rPr>
        <w:t>, der er beliggende</w:t>
      </w:r>
      <w:r w:rsidR="00FD3510" w:rsidRPr="00FD3510">
        <w:rPr>
          <w:rFonts w:ascii="Garamond" w:hAnsi="Garamond"/>
          <w:sz w:val="24"/>
          <w:szCs w:val="24"/>
        </w:rPr>
        <w:t xml:space="preserve"> i region</w:t>
      </w:r>
      <w:r w:rsidR="00DF03B4">
        <w:rPr>
          <w:rFonts w:ascii="Garamond" w:hAnsi="Garamond"/>
          <w:sz w:val="24"/>
          <w:szCs w:val="24"/>
        </w:rPr>
        <w:t xml:space="preserve">er, hvor der er sket en </w:t>
      </w:r>
      <w:r w:rsidR="00FD3510" w:rsidRPr="00FD3510">
        <w:rPr>
          <w:rFonts w:ascii="Garamond" w:hAnsi="Garamond"/>
          <w:sz w:val="24"/>
          <w:szCs w:val="24"/>
        </w:rPr>
        <w:t xml:space="preserve">merbetaling </w:t>
      </w:r>
      <w:r w:rsidR="00C73E1B">
        <w:rPr>
          <w:rFonts w:ascii="Garamond" w:hAnsi="Garamond"/>
          <w:sz w:val="24"/>
          <w:szCs w:val="24"/>
        </w:rPr>
        <w:t xml:space="preserve">udover </w:t>
      </w:r>
      <w:r w:rsidR="00DF03B4">
        <w:rPr>
          <w:rFonts w:ascii="Garamond" w:hAnsi="Garamond"/>
          <w:sz w:val="24"/>
          <w:szCs w:val="24"/>
        </w:rPr>
        <w:t>regionsloftet</w:t>
      </w:r>
      <w:r w:rsidR="00FD3510" w:rsidRPr="00FD3510">
        <w:rPr>
          <w:rFonts w:ascii="Garamond" w:hAnsi="Garamond"/>
          <w:sz w:val="24"/>
          <w:szCs w:val="24"/>
        </w:rPr>
        <w:t xml:space="preserve">. Omvendt vil kommuner uden merbetaling ikke fremover kunne opnå en gevinst på bekostning af andre kommuner – alene hvis den eventuelle merbetaling sker inden for samme region. </w:t>
      </w:r>
    </w:p>
    <w:p w:rsidR="00FD3510" w:rsidRPr="00FD3510" w:rsidRDefault="006B745D" w:rsidP="00FD3510">
      <w:pPr>
        <w:jc w:val="both"/>
        <w:rPr>
          <w:rFonts w:ascii="Garamond" w:hAnsi="Garamond"/>
          <w:sz w:val="24"/>
          <w:szCs w:val="24"/>
        </w:rPr>
      </w:pPr>
      <w:r>
        <w:rPr>
          <w:rFonts w:ascii="Garamond" w:hAnsi="Garamond"/>
          <w:sz w:val="24"/>
          <w:szCs w:val="24"/>
        </w:rPr>
        <w:t>Det bemærkes, at k</w:t>
      </w:r>
      <w:r w:rsidR="00FD3510" w:rsidRPr="00FD3510">
        <w:rPr>
          <w:rFonts w:ascii="Garamond" w:hAnsi="Garamond"/>
          <w:sz w:val="24"/>
          <w:szCs w:val="24"/>
        </w:rPr>
        <w:t xml:space="preserve">ommunerne </w:t>
      </w:r>
      <w:r w:rsidRPr="00FD3510">
        <w:rPr>
          <w:rFonts w:ascii="Garamond" w:hAnsi="Garamond"/>
          <w:sz w:val="24"/>
          <w:szCs w:val="24"/>
        </w:rPr>
        <w:t xml:space="preserve">alene </w:t>
      </w:r>
      <w:r w:rsidR="00FD3510" w:rsidRPr="00FD3510">
        <w:rPr>
          <w:rFonts w:ascii="Garamond" w:hAnsi="Garamond"/>
          <w:sz w:val="24"/>
          <w:szCs w:val="24"/>
        </w:rPr>
        <w:t xml:space="preserve">kan opnå den relative gevinst, som er givet ved det samlede forudsatte KMF-niveau. </w:t>
      </w:r>
    </w:p>
    <w:p w:rsidR="00195791" w:rsidRPr="00FD3510" w:rsidRDefault="00195791" w:rsidP="001B7D57">
      <w:pPr>
        <w:spacing w:after="0"/>
        <w:jc w:val="both"/>
        <w:rPr>
          <w:rFonts w:ascii="Garamond" w:hAnsi="Garamond"/>
          <w:i/>
          <w:sz w:val="24"/>
          <w:szCs w:val="24"/>
        </w:rPr>
      </w:pPr>
      <w:r w:rsidRPr="00FD3510">
        <w:rPr>
          <w:rFonts w:ascii="Garamond" w:hAnsi="Garamond"/>
          <w:i/>
          <w:sz w:val="24"/>
          <w:szCs w:val="24"/>
        </w:rPr>
        <w:t>Økonomiske konsekvenser for kommunerne af en ændret tilbagebetaling</w:t>
      </w:r>
    </w:p>
    <w:p w:rsidR="006E4429" w:rsidRPr="006B629C" w:rsidRDefault="006E4429" w:rsidP="006E4429">
      <w:pPr>
        <w:jc w:val="both"/>
        <w:rPr>
          <w:rFonts w:ascii="Garamond" w:hAnsi="Garamond"/>
          <w:sz w:val="24"/>
          <w:szCs w:val="24"/>
        </w:rPr>
      </w:pPr>
      <w:r w:rsidRPr="006B629C">
        <w:rPr>
          <w:rFonts w:ascii="Garamond" w:hAnsi="Garamond"/>
          <w:sz w:val="24"/>
          <w:szCs w:val="24"/>
        </w:rPr>
        <w:t xml:space="preserve">Med ændringen </w:t>
      </w:r>
      <w:r w:rsidR="00862B31">
        <w:rPr>
          <w:rFonts w:ascii="Garamond" w:hAnsi="Garamond"/>
          <w:sz w:val="24"/>
          <w:szCs w:val="24"/>
        </w:rPr>
        <w:t>vil fordelingen af tilbagebetalingen ændres</w:t>
      </w:r>
      <w:r w:rsidRPr="006B629C">
        <w:rPr>
          <w:rFonts w:ascii="Garamond" w:hAnsi="Garamond"/>
          <w:sz w:val="24"/>
          <w:szCs w:val="24"/>
        </w:rPr>
        <w:t xml:space="preserve"> som følge af, at </w:t>
      </w:r>
      <w:r w:rsidR="00DF03B4">
        <w:rPr>
          <w:rFonts w:ascii="Garamond" w:hAnsi="Garamond"/>
          <w:sz w:val="24"/>
          <w:szCs w:val="24"/>
        </w:rPr>
        <w:t xml:space="preserve">der er nogle </w:t>
      </w:r>
      <w:r w:rsidRPr="006B629C">
        <w:rPr>
          <w:rFonts w:ascii="Garamond" w:hAnsi="Garamond"/>
          <w:sz w:val="24"/>
          <w:szCs w:val="24"/>
        </w:rPr>
        <w:t>kommuner</w:t>
      </w:r>
      <w:r w:rsidR="00DF03B4">
        <w:rPr>
          <w:rFonts w:ascii="Garamond" w:hAnsi="Garamond"/>
          <w:sz w:val="24"/>
          <w:szCs w:val="24"/>
        </w:rPr>
        <w:t>, som</w:t>
      </w:r>
      <w:r w:rsidRPr="006B629C">
        <w:rPr>
          <w:rFonts w:ascii="Garamond" w:hAnsi="Garamond"/>
          <w:sz w:val="24"/>
          <w:szCs w:val="24"/>
        </w:rPr>
        <w:t xml:space="preserve"> ikke længere har mulighed for en yderligere gevinst. </w:t>
      </w:r>
    </w:p>
    <w:p w:rsidR="0017212C" w:rsidRDefault="005A766D" w:rsidP="005A766D">
      <w:pPr>
        <w:jc w:val="both"/>
        <w:rPr>
          <w:sz w:val="24"/>
          <w:szCs w:val="24"/>
        </w:rPr>
      </w:pPr>
      <w:r w:rsidRPr="006B629C">
        <w:rPr>
          <w:rFonts w:ascii="Garamond" w:hAnsi="Garamond"/>
          <w:sz w:val="24"/>
          <w:szCs w:val="24"/>
        </w:rPr>
        <w:t>Til illustration er nedenfor vist konsekvensen af ændringen, hvis den blev anvendt på merbetalingen i 2014 og 2015</w:t>
      </w:r>
      <w:r w:rsidRPr="006B629C">
        <w:rPr>
          <w:rFonts w:ascii="Garamond" w:hAnsi="Garamond"/>
          <w:i/>
          <w:sz w:val="24"/>
          <w:szCs w:val="24"/>
        </w:rPr>
        <w:t xml:space="preserve">, jf. tabel </w:t>
      </w:r>
      <w:r w:rsidR="00BA3DFA">
        <w:rPr>
          <w:rFonts w:ascii="Garamond" w:hAnsi="Garamond"/>
          <w:i/>
          <w:sz w:val="24"/>
          <w:szCs w:val="24"/>
        </w:rPr>
        <w:t>6</w:t>
      </w:r>
      <w:r w:rsidRPr="006B629C">
        <w:rPr>
          <w:rFonts w:ascii="Garamond" w:hAnsi="Garamond"/>
          <w:i/>
          <w:sz w:val="24"/>
          <w:szCs w:val="24"/>
        </w:rPr>
        <w:t>.3</w:t>
      </w:r>
      <w:r w:rsidRPr="006B629C">
        <w:rPr>
          <w:sz w:val="24"/>
          <w:szCs w:val="24"/>
        </w:rPr>
        <w:t>.</w:t>
      </w:r>
    </w:p>
    <w:p w:rsidR="0017212C" w:rsidRDefault="0017212C">
      <w:pPr>
        <w:rPr>
          <w:sz w:val="24"/>
          <w:szCs w:val="24"/>
        </w:rPr>
      </w:pPr>
      <w:r>
        <w:rPr>
          <w:sz w:val="24"/>
          <w:szCs w:val="24"/>
        </w:rPr>
        <w:br w:type="page"/>
      </w:r>
    </w:p>
    <w:p w:rsidR="005A766D" w:rsidRPr="00FD3510" w:rsidRDefault="005A766D" w:rsidP="005A766D">
      <w:pPr>
        <w:jc w:val="both"/>
        <w:rPr>
          <w:rFonts w:ascii="Garamond" w:hAnsi="Garamond"/>
          <w:sz w:val="24"/>
          <w:szCs w:val="24"/>
        </w:rPr>
      </w:pPr>
    </w:p>
    <w:tbl>
      <w:tblPr>
        <w:tblW w:w="7655"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3828"/>
        <w:gridCol w:w="3827"/>
      </w:tblGrid>
      <w:tr w:rsidR="00FD3510" w:rsidTr="006B629C">
        <w:trPr>
          <w:trHeight w:val="584"/>
        </w:trPr>
        <w:tc>
          <w:tcPr>
            <w:tcW w:w="3828" w:type="dxa"/>
            <w:tcBorders>
              <w:top w:val="single" w:sz="12" w:space="0" w:color="auto"/>
            </w:tcBorders>
            <w:shd w:val="clear" w:color="auto" w:fill="E9EFEC"/>
          </w:tcPr>
          <w:p w:rsidR="00FD3510" w:rsidRDefault="00BA3DFA" w:rsidP="00FD3510">
            <w:pPr>
              <w:spacing w:after="0" w:line="240" w:lineRule="auto"/>
              <w:rPr>
                <w:rFonts w:ascii="Calibri" w:hAnsi="Calibri"/>
                <w:b/>
                <w:sz w:val="16"/>
              </w:rPr>
            </w:pPr>
            <w:r>
              <w:rPr>
                <w:rFonts w:ascii="Calibri" w:hAnsi="Calibri"/>
                <w:b/>
                <w:sz w:val="16"/>
              </w:rPr>
              <w:t>Tabel 6</w:t>
            </w:r>
            <w:r w:rsidR="00FD3510" w:rsidRPr="009A33B9">
              <w:rPr>
                <w:rFonts w:ascii="Calibri" w:hAnsi="Calibri"/>
                <w:b/>
                <w:sz w:val="16"/>
              </w:rPr>
              <w:t>.</w:t>
            </w:r>
            <w:r w:rsidR="006B629C">
              <w:rPr>
                <w:rFonts w:ascii="Calibri" w:hAnsi="Calibri"/>
                <w:b/>
                <w:sz w:val="16"/>
              </w:rPr>
              <w:t>3</w:t>
            </w:r>
          </w:p>
          <w:p w:rsidR="00FD3510" w:rsidRPr="009A33B9" w:rsidRDefault="00FD3510" w:rsidP="006E4429">
            <w:pPr>
              <w:spacing w:line="240" w:lineRule="auto"/>
              <w:rPr>
                <w:rFonts w:ascii="Calibri" w:hAnsi="Calibri"/>
                <w:b/>
                <w:sz w:val="16"/>
              </w:rPr>
            </w:pPr>
            <w:r w:rsidRPr="009A33B9">
              <w:rPr>
                <w:rFonts w:ascii="Calibri" w:hAnsi="Calibri"/>
                <w:b/>
                <w:sz w:val="16"/>
              </w:rPr>
              <w:t xml:space="preserve">Økonomiske konsekvenser for kommunerne af en ændret tilbagebetaling, regionsfordelt </w:t>
            </w:r>
          </w:p>
        </w:tc>
        <w:tc>
          <w:tcPr>
            <w:tcW w:w="3827" w:type="dxa"/>
            <w:tcBorders>
              <w:top w:val="single" w:sz="12" w:space="0" w:color="auto"/>
            </w:tcBorders>
            <w:shd w:val="clear" w:color="auto" w:fill="E9EFEC"/>
          </w:tcPr>
          <w:p w:rsidR="00FD3510" w:rsidRPr="000C2714" w:rsidRDefault="00BA3DFA" w:rsidP="00FD3510">
            <w:pPr>
              <w:spacing w:line="240" w:lineRule="auto"/>
              <w:rPr>
                <w:rFonts w:ascii="Calibri" w:hAnsi="Calibri"/>
                <w:b/>
                <w:sz w:val="16"/>
              </w:rPr>
            </w:pPr>
            <w:r>
              <w:rPr>
                <w:rFonts w:ascii="Calibri" w:hAnsi="Calibri"/>
                <w:b/>
                <w:sz w:val="16"/>
              </w:rPr>
              <w:t>Tabel 6</w:t>
            </w:r>
            <w:r w:rsidR="006B629C">
              <w:rPr>
                <w:rFonts w:ascii="Calibri" w:hAnsi="Calibri"/>
                <w:b/>
                <w:sz w:val="16"/>
              </w:rPr>
              <w:t>.4</w:t>
            </w:r>
            <w:r w:rsidR="00FD3510" w:rsidRPr="000C2714">
              <w:rPr>
                <w:rFonts w:ascii="Calibri" w:hAnsi="Calibri"/>
                <w:b/>
                <w:sz w:val="16"/>
              </w:rPr>
              <w:br/>
            </w:r>
            <w:r w:rsidR="00FD3510">
              <w:rPr>
                <w:rFonts w:ascii="Arial" w:hAnsi="Arial" w:cs="Arial"/>
                <w:b/>
                <w:bCs/>
                <w:color w:val="000000"/>
                <w:sz w:val="14"/>
                <w:szCs w:val="14"/>
              </w:rPr>
              <w:t>De ti kommuner med størst ændring, 2014</w:t>
            </w:r>
          </w:p>
        </w:tc>
      </w:tr>
      <w:tr w:rsidR="00FD3510" w:rsidTr="006E4429">
        <w:trPr>
          <w:trHeight w:val="3467"/>
        </w:trPr>
        <w:tc>
          <w:tcPr>
            <w:tcW w:w="3828" w:type="dxa"/>
            <w:shd w:val="clear" w:color="auto" w:fill="E9EFEC"/>
          </w:tcPr>
          <w:tbl>
            <w:tblPr>
              <w:tblpPr w:leftFromText="141" w:rightFromText="141" w:vertAnchor="text" w:horzAnchor="margin" w:tblpY="-149"/>
              <w:tblOverlap w:val="never"/>
              <w:tblW w:w="3261" w:type="dxa"/>
              <w:tblLayout w:type="fixed"/>
              <w:tblCellMar>
                <w:left w:w="70" w:type="dxa"/>
                <w:right w:w="70" w:type="dxa"/>
              </w:tblCellMar>
              <w:tblLook w:val="00A0" w:firstRow="1" w:lastRow="0" w:firstColumn="1" w:lastColumn="0" w:noHBand="0" w:noVBand="0"/>
            </w:tblPr>
            <w:tblGrid>
              <w:gridCol w:w="1149"/>
              <w:gridCol w:w="411"/>
              <w:gridCol w:w="850"/>
              <w:gridCol w:w="851"/>
            </w:tblGrid>
            <w:tr w:rsidR="00FD3510" w:rsidRPr="001B56A0" w:rsidTr="006E4429">
              <w:trPr>
                <w:trHeight w:val="330"/>
              </w:trPr>
              <w:tc>
                <w:tcPr>
                  <w:tcW w:w="1560" w:type="dxa"/>
                  <w:gridSpan w:val="2"/>
                  <w:tcBorders>
                    <w:left w:val="nil"/>
                    <w:bottom w:val="single" w:sz="4" w:space="0" w:color="auto"/>
                    <w:right w:val="nil"/>
                  </w:tcBorders>
                  <w:shd w:val="clear" w:color="000000" w:fill="E9EFEC"/>
                  <w:noWrap/>
                  <w:vAlign w:val="center"/>
                </w:tcPr>
                <w:p w:rsidR="00FD3510" w:rsidRPr="00B10DC6" w:rsidRDefault="00FD3510" w:rsidP="00FD3510">
                  <w:pPr>
                    <w:spacing w:after="0" w:line="240" w:lineRule="auto"/>
                    <w:rPr>
                      <w:rFonts w:ascii="Calibri" w:hAnsi="Calibri" w:cs="Arial"/>
                      <w:i/>
                      <w:color w:val="000000"/>
                      <w:sz w:val="12"/>
                      <w:szCs w:val="12"/>
                      <w:lang w:eastAsia="da-DK"/>
                    </w:rPr>
                  </w:pPr>
                  <w:r w:rsidRPr="00B10DC6">
                    <w:rPr>
                      <w:rFonts w:ascii="Calibri" w:hAnsi="Calibri" w:cs="Arial"/>
                      <w:i/>
                      <w:color w:val="000000"/>
                      <w:sz w:val="12"/>
                      <w:szCs w:val="12"/>
                      <w:lang w:eastAsia="da-DK"/>
                    </w:rPr>
                    <w:t>Ændring af tilbagebetaling</w:t>
                  </w:r>
                </w:p>
              </w:tc>
              <w:tc>
                <w:tcPr>
                  <w:tcW w:w="850" w:type="dxa"/>
                  <w:tcBorders>
                    <w:top w:val="nil"/>
                    <w:left w:val="nil"/>
                    <w:bottom w:val="single" w:sz="4" w:space="0" w:color="auto"/>
                  </w:tcBorders>
                  <w:shd w:val="clear" w:color="000000" w:fill="E9EFEC"/>
                  <w:vAlign w:val="center"/>
                </w:tcPr>
                <w:p w:rsidR="00FD3510" w:rsidRPr="00B10DC6" w:rsidRDefault="00FD3510" w:rsidP="00FD3510">
                  <w:pPr>
                    <w:spacing w:after="0" w:line="240" w:lineRule="auto"/>
                    <w:jc w:val="right"/>
                    <w:rPr>
                      <w:rFonts w:ascii="Calibri" w:hAnsi="Calibri" w:cs="Arial"/>
                      <w:i/>
                      <w:color w:val="000000"/>
                      <w:sz w:val="12"/>
                      <w:szCs w:val="12"/>
                      <w:lang w:eastAsia="da-DK"/>
                    </w:rPr>
                  </w:pPr>
                  <w:r w:rsidRPr="00B10DC6">
                    <w:rPr>
                      <w:rFonts w:ascii="Calibri" w:hAnsi="Calibri" w:cs="Arial"/>
                      <w:i/>
                      <w:color w:val="000000"/>
                      <w:sz w:val="12"/>
                      <w:szCs w:val="12"/>
                      <w:lang w:eastAsia="da-DK"/>
                    </w:rPr>
                    <w:t>2014</w:t>
                  </w:r>
                </w:p>
              </w:tc>
              <w:tc>
                <w:tcPr>
                  <w:tcW w:w="851" w:type="dxa"/>
                  <w:tcBorders>
                    <w:top w:val="nil"/>
                    <w:left w:val="nil"/>
                    <w:bottom w:val="single" w:sz="4" w:space="0" w:color="auto"/>
                  </w:tcBorders>
                  <w:shd w:val="clear" w:color="000000" w:fill="E9EFEC"/>
                  <w:vAlign w:val="center"/>
                </w:tcPr>
                <w:p w:rsidR="00FD3510" w:rsidRPr="00B10DC6" w:rsidRDefault="00FD3510" w:rsidP="00FD3510">
                  <w:pPr>
                    <w:spacing w:after="0" w:line="240" w:lineRule="auto"/>
                    <w:jc w:val="right"/>
                    <w:rPr>
                      <w:rFonts w:ascii="Calibri" w:hAnsi="Calibri" w:cs="Arial"/>
                      <w:i/>
                      <w:color w:val="000000"/>
                      <w:sz w:val="12"/>
                      <w:szCs w:val="12"/>
                      <w:lang w:eastAsia="da-DK"/>
                    </w:rPr>
                  </w:pPr>
                  <w:r w:rsidRPr="00B10DC6">
                    <w:rPr>
                      <w:rFonts w:ascii="Calibri" w:hAnsi="Calibri" w:cs="Arial"/>
                      <w:i/>
                      <w:color w:val="000000"/>
                      <w:sz w:val="12"/>
                      <w:szCs w:val="12"/>
                      <w:lang w:eastAsia="da-DK"/>
                    </w:rPr>
                    <w:t>2015</w:t>
                  </w:r>
                </w:p>
              </w:tc>
            </w:tr>
            <w:tr w:rsidR="00FD3510" w:rsidRPr="001B56A0" w:rsidTr="006E4429">
              <w:trPr>
                <w:trHeight w:val="210"/>
              </w:trPr>
              <w:tc>
                <w:tcPr>
                  <w:tcW w:w="1560" w:type="dxa"/>
                  <w:gridSpan w:val="2"/>
                  <w:tcBorders>
                    <w:top w:val="single" w:sz="4" w:space="0" w:color="auto"/>
                    <w:left w:val="nil"/>
                    <w:bottom w:val="nil"/>
                    <w:right w:val="nil"/>
                  </w:tcBorders>
                  <w:shd w:val="clear" w:color="000000" w:fill="E9EFEC"/>
                  <w:noWrap/>
                  <w:vAlign w:val="center"/>
                </w:tcPr>
                <w:p w:rsidR="00FD3510" w:rsidRDefault="00FD3510" w:rsidP="00B0298D">
                  <w:pPr>
                    <w:spacing w:after="0" w:line="240" w:lineRule="auto"/>
                    <w:jc w:val="both"/>
                    <w:rPr>
                      <w:rFonts w:ascii="Calibri" w:hAnsi="Calibri" w:cs="Arial"/>
                      <w:i/>
                      <w:iCs/>
                      <w:color w:val="000000"/>
                      <w:sz w:val="12"/>
                      <w:szCs w:val="12"/>
                      <w:lang w:eastAsia="da-DK"/>
                    </w:rPr>
                  </w:pPr>
                  <w:r w:rsidRPr="00CE4D6E">
                    <w:rPr>
                      <w:rFonts w:ascii="Calibri" w:hAnsi="Calibri" w:cs="Arial"/>
                      <w:i/>
                      <w:color w:val="000000"/>
                      <w:sz w:val="12"/>
                      <w:szCs w:val="12"/>
                      <w:lang w:eastAsia="da-DK"/>
                    </w:rPr>
                    <w:t xml:space="preserve">Beregnet </w:t>
                  </w:r>
                  <w:r w:rsidR="00B0298D">
                    <w:rPr>
                      <w:rFonts w:ascii="Calibri" w:hAnsi="Calibri" w:cs="Arial"/>
                      <w:i/>
                      <w:color w:val="000000"/>
                      <w:sz w:val="12"/>
                      <w:szCs w:val="12"/>
                      <w:lang w:eastAsia="da-DK"/>
                    </w:rPr>
                    <w:t>ændring</w:t>
                  </w:r>
                  <w:r>
                    <w:rPr>
                      <w:rFonts w:ascii="Calibri" w:hAnsi="Calibri" w:cs="Arial"/>
                      <w:i/>
                      <w:color w:val="000000"/>
                      <w:sz w:val="12"/>
                      <w:szCs w:val="12"/>
                      <w:lang w:eastAsia="da-DK"/>
                    </w:rPr>
                    <w:t xml:space="preserve"> (</w:t>
                  </w:r>
                  <w:r w:rsidRPr="001B56A0">
                    <w:rPr>
                      <w:rFonts w:ascii="Calibri" w:hAnsi="Calibri" w:cs="Arial"/>
                      <w:i/>
                      <w:iCs/>
                      <w:color w:val="000000"/>
                      <w:sz w:val="12"/>
                      <w:szCs w:val="12"/>
                      <w:lang w:eastAsia="da-DK"/>
                    </w:rPr>
                    <w:t>Mio. kr.</w:t>
                  </w:r>
                  <w:r>
                    <w:rPr>
                      <w:rFonts w:ascii="Calibri" w:hAnsi="Calibri" w:cs="Arial"/>
                      <w:i/>
                      <w:iCs/>
                      <w:color w:val="000000"/>
                      <w:sz w:val="12"/>
                      <w:szCs w:val="12"/>
                      <w:lang w:eastAsia="da-DK"/>
                    </w:rPr>
                    <w:t>)</w:t>
                  </w:r>
                </w:p>
                <w:p w:rsidR="00B0298D" w:rsidRPr="001B56A0" w:rsidRDefault="00B0298D" w:rsidP="00B0298D">
                  <w:pPr>
                    <w:spacing w:after="0" w:line="240" w:lineRule="auto"/>
                    <w:jc w:val="both"/>
                    <w:rPr>
                      <w:rFonts w:ascii="Calibri" w:hAnsi="Calibri" w:cs="Arial"/>
                      <w:i/>
                      <w:iCs/>
                      <w:color w:val="000000"/>
                      <w:sz w:val="12"/>
                      <w:szCs w:val="12"/>
                      <w:lang w:eastAsia="da-DK"/>
                    </w:rPr>
                  </w:pPr>
                  <w:r w:rsidRPr="00B0298D">
                    <w:rPr>
                      <w:rFonts w:eastAsia="Times New Roman" w:cs="Arial"/>
                      <w:bCs/>
                      <w:sz w:val="12"/>
                      <w:szCs w:val="12"/>
                      <w:lang w:eastAsia="da-DK"/>
                    </w:rPr>
                    <w:t>(+=gevinst)</w:t>
                  </w:r>
                </w:p>
              </w:tc>
              <w:tc>
                <w:tcPr>
                  <w:tcW w:w="850" w:type="dxa"/>
                  <w:tcBorders>
                    <w:top w:val="nil"/>
                    <w:left w:val="nil"/>
                    <w:bottom w:val="nil"/>
                  </w:tcBorders>
                  <w:shd w:val="clear" w:color="000000" w:fill="E9EFEC"/>
                  <w:noWrap/>
                  <w:vAlign w:val="bottom"/>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 </w:t>
                  </w:r>
                </w:p>
              </w:tc>
              <w:tc>
                <w:tcPr>
                  <w:tcW w:w="851" w:type="dxa"/>
                  <w:tcBorders>
                    <w:top w:val="nil"/>
                    <w:left w:val="nil"/>
                    <w:bottom w:val="nil"/>
                  </w:tcBorders>
                  <w:shd w:val="clear" w:color="000000" w:fill="E9EFEC"/>
                </w:tcPr>
                <w:p w:rsidR="00FD3510" w:rsidRPr="001B56A0" w:rsidRDefault="00FD3510" w:rsidP="00FD3510">
                  <w:pPr>
                    <w:spacing w:after="0" w:line="240" w:lineRule="auto"/>
                    <w:jc w:val="right"/>
                    <w:rPr>
                      <w:rFonts w:ascii="Calibri" w:hAnsi="Calibri" w:cs="Arial"/>
                      <w:color w:val="000000"/>
                      <w:sz w:val="12"/>
                      <w:szCs w:val="12"/>
                      <w:lang w:eastAsia="da-DK"/>
                    </w:rPr>
                  </w:pPr>
                </w:p>
              </w:tc>
            </w:tr>
            <w:tr w:rsidR="00FD3510" w:rsidRPr="001B56A0" w:rsidTr="006E4429">
              <w:trPr>
                <w:trHeight w:val="210"/>
              </w:trPr>
              <w:tc>
                <w:tcPr>
                  <w:tcW w:w="1560" w:type="dxa"/>
                  <w:gridSpan w:val="2"/>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jc w:val="both"/>
                    <w:rPr>
                      <w:rFonts w:ascii="Calibri" w:hAnsi="Calibri" w:cs="Arial"/>
                      <w:color w:val="000000"/>
                      <w:sz w:val="12"/>
                      <w:szCs w:val="12"/>
                      <w:lang w:eastAsia="da-DK"/>
                    </w:rPr>
                  </w:pPr>
                  <w:r w:rsidRPr="001B56A0">
                    <w:rPr>
                      <w:rFonts w:ascii="Calibri" w:hAnsi="Calibri" w:cs="Arial"/>
                      <w:color w:val="000000"/>
                      <w:sz w:val="12"/>
                      <w:szCs w:val="12"/>
                      <w:lang w:eastAsia="da-DK"/>
                    </w:rPr>
                    <w:t>Region Nordjylland</w:t>
                  </w:r>
                </w:p>
              </w:tc>
              <w:tc>
                <w:tcPr>
                  <w:tcW w:w="850" w:type="dxa"/>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w:t>
                  </w:r>
                  <w:r w:rsidRPr="001B56A0">
                    <w:rPr>
                      <w:rFonts w:ascii="Calibri" w:hAnsi="Calibri" w:cs="Arial"/>
                      <w:color w:val="000000"/>
                      <w:sz w:val="12"/>
                      <w:szCs w:val="12"/>
                      <w:lang w:eastAsia="da-DK"/>
                    </w:rPr>
                    <w:t>68,4</w:t>
                  </w:r>
                </w:p>
              </w:tc>
              <w:tc>
                <w:tcPr>
                  <w:tcW w:w="851" w:type="dxa"/>
                  <w:tcBorders>
                    <w:top w:val="nil"/>
                    <w:left w:val="nil"/>
                    <w:bottom w:val="single" w:sz="4" w:space="0" w:color="E9EFEC"/>
                  </w:tcBorders>
                  <w:shd w:val="clear" w:color="000000" w:fill="E9EFEC"/>
                </w:tcPr>
                <w:p w:rsidR="00FD351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-40,6</w:t>
                  </w:r>
                </w:p>
              </w:tc>
            </w:tr>
            <w:tr w:rsidR="00FD3510" w:rsidRPr="001B56A0" w:rsidTr="006E4429">
              <w:trPr>
                <w:trHeight w:val="210"/>
              </w:trPr>
              <w:tc>
                <w:tcPr>
                  <w:tcW w:w="1560" w:type="dxa"/>
                  <w:gridSpan w:val="2"/>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jc w:val="both"/>
                    <w:rPr>
                      <w:rFonts w:ascii="Calibri" w:hAnsi="Calibri" w:cs="Arial"/>
                      <w:color w:val="000000"/>
                      <w:sz w:val="12"/>
                      <w:szCs w:val="12"/>
                      <w:lang w:eastAsia="da-DK"/>
                    </w:rPr>
                  </w:pPr>
                  <w:r w:rsidRPr="001B56A0">
                    <w:rPr>
                      <w:rFonts w:ascii="Calibri" w:hAnsi="Calibri" w:cs="Arial"/>
                      <w:color w:val="000000"/>
                      <w:sz w:val="12"/>
                      <w:szCs w:val="12"/>
                      <w:lang w:eastAsia="da-DK"/>
                    </w:rPr>
                    <w:t>Region Midtjylland</w:t>
                  </w:r>
                </w:p>
              </w:tc>
              <w:tc>
                <w:tcPr>
                  <w:tcW w:w="850" w:type="dxa"/>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w:t>
                  </w:r>
                  <w:r w:rsidRPr="001B56A0">
                    <w:rPr>
                      <w:rFonts w:ascii="Calibri" w:hAnsi="Calibri" w:cs="Arial"/>
                      <w:color w:val="000000"/>
                      <w:sz w:val="12"/>
                      <w:szCs w:val="12"/>
                      <w:lang w:eastAsia="da-DK"/>
                    </w:rPr>
                    <w:t>26,3</w:t>
                  </w:r>
                </w:p>
              </w:tc>
              <w:tc>
                <w:tcPr>
                  <w:tcW w:w="851" w:type="dxa"/>
                  <w:tcBorders>
                    <w:top w:val="nil"/>
                    <w:left w:val="nil"/>
                    <w:bottom w:val="single" w:sz="4" w:space="0" w:color="E9EFEC"/>
                  </w:tcBorders>
                  <w:shd w:val="clear" w:color="000000" w:fill="E9EFEC"/>
                </w:tcPr>
                <w:p w:rsidR="00FD351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4,9</w:t>
                  </w:r>
                </w:p>
              </w:tc>
            </w:tr>
            <w:tr w:rsidR="00FD3510" w:rsidRPr="001B56A0" w:rsidTr="006E4429">
              <w:trPr>
                <w:trHeight w:val="210"/>
              </w:trPr>
              <w:tc>
                <w:tcPr>
                  <w:tcW w:w="1560" w:type="dxa"/>
                  <w:gridSpan w:val="2"/>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jc w:val="both"/>
                    <w:rPr>
                      <w:rFonts w:ascii="Calibri" w:hAnsi="Calibri" w:cs="Arial"/>
                      <w:color w:val="000000"/>
                      <w:sz w:val="12"/>
                      <w:szCs w:val="12"/>
                      <w:lang w:eastAsia="da-DK"/>
                    </w:rPr>
                  </w:pPr>
                  <w:r w:rsidRPr="001B56A0">
                    <w:rPr>
                      <w:rFonts w:ascii="Calibri" w:hAnsi="Calibri" w:cs="Arial"/>
                      <w:color w:val="000000"/>
                      <w:sz w:val="12"/>
                      <w:szCs w:val="12"/>
                      <w:lang w:eastAsia="da-DK"/>
                    </w:rPr>
                    <w:t>Region Syddanmark</w:t>
                  </w:r>
                </w:p>
              </w:tc>
              <w:tc>
                <w:tcPr>
                  <w:tcW w:w="850" w:type="dxa"/>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w:t>
                  </w:r>
                  <w:r w:rsidRPr="001B56A0">
                    <w:rPr>
                      <w:rFonts w:ascii="Calibri" w:hAnsi="Calibri" w:cs="Arial"/>
                      <w:color w:val="000000"/>
                      <w:sz w:val="12"/>
                      <w:szCs w:val="12"/>
                      <w:lang w:eastAsia="da-DK"/>
                    </w:rPr>
                    <w:t>74,5</w:t>
                  </w:r>
                </w:p>
              </w:tc>
              <w:tc>
                <w:tcPr>
                  <w:tcW w:w="851" w:type="dxa"/>
                  <w:tcBorders>
                    <w:top w:val="nil"/>
                    <w:left w:val="nil"/>
                    <w:bottom w:val="single" w:sz="4" w:space="0" w:color="E9EFEC"/>
                  </w:tcBorders>
                  <w:shd w:val="clear" w:color="000000" w:fill="E9EFEC"/>
                </w:tcPr>
                <w:p w:rsidR="00FD351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-101,4</w:t>
                  </w:r>
                </w:p>
              </w:tc>
            </w:tr>
            <w:tr w:rsidR="00FD3510" w:rsidRPr="001B56A0" w:rsidTr="006E4429">
              <w:trPr>
                <w:trHeight w:val="210"/>
              </w:trPr>
              <w:tc>
                <w:tcPr>
                  <w:tcW w:w="1560" w:type="dxa"/>
                  <w:gridSpan w:val="2"/>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jc w:val="both"/>
                    <w:rPr>
                      <w:rFonts w:ascii="Calibri" w:hAnsi="Calibri" w:cs="Arial"/>
                      <w:color w:val="000000"/>
                      <w:sz w:val="12"/>
                      <w:szCs w:val="12"/>
                      <w:lang w:eastAsia="da-DK"/>
                    </w:rPr>
                  </w:pPr>
                  <w:r w:rsidRPr="001B56A0">
                    <w:rPr>
                      <w:rFonts w:ascii="Calibri" w:hAnsi="Calibri" w:cs="Arial"/>
                      <w:color w:val="000000"/>
                      <w:sz w:val="12"/>
                      <w:szCs w:val="12"/>
                      <w:lang w:eastAsia="da-DK"/>
                    </w:rPr>
                    <w:t>Region Hovedstaden</w:t>
                  </w:r>
                </w:p>
              </w:tc>
              <w:tc>
                <w:tcPr>
                  <w:tcW w:w="850" w:type="dxa"/>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123,3</w:t>
                  </w:r>
                </w:p>
              </w:tc>
              <w:tc>
                <w:tcPr>
                  <w:tcW w:w="851" w:type="dxa"/>
                  <w:tcBorders>
                    <w:top w:val="nil"/>
                    <w:left w:val="nil"/>
                    <w:bottom w:val="single" w:sz="4" w:space="0" w:color="E9EFEC"/>
                  </w:tcBorders>
                  <w:shd w:val="clear" w:color="000000" w:fill="E9EFEC"/>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50,0</w:t>
                  </w:r>
                </w:p>
              </w:tc>
            </w:tr>
            <w:tr w:rsidR="00FD3510" w:rsidRPr="001B56A0" w:rsidTr="006E4429">
              <w:trPr>
                <w:trHeight w:val="210"/>
              </w:trPr>
              <w:tc>
                <w:tcPr>
                  <w:tcW w:w="1560" w:type="dxa"/>
                  <w:gridSpan w:val="2"/>
                  <w:tcBorders>
                    <w:top w:val="nil"/>
                    <w:left w:val="nil"/>
                    <w:bottom w:val="nil"/>
                    <w:right w:val="nil"/>
                  </w:tcBorders>
                  <w:shd w:val="clear" w:color="000000" w:fill="E9EFEC"/>
                  <w:vAlign w:val="center"/>
                </w:tcPr>
                <w:p w:rsidR="00FD3510" w:rsidRPr="001B56A0" w:rsidRDefault="00FD3510" w:rsidP="00FD3510">
                  <w:pPr>
                    <w:spacing w:after="0" w:line="240" w:lineRule="auto"/>
                    <w:jc w:val="both"/>
                    <w:rPr>
                      <w:rFonts w:ascii="Calibri" w:hAnsi="Calibri" w:cs="Arial"/>
                      <w:color w:val="000000"/>
                      <w:sz w:val="12"/>
                      <w:szCs w:val="12"/>
                      <w:lang w:eastAsia="da-DK"/>
                    </w:rPr>
                  </w:pPr>
                  <w:r w:rsidRPr="001B56A0">
                    <w:rPr>
                      <w:rFonts w:ascii="Calibri" w:hAnsi="Calibri" w:cs="Arial"/>
                      <w:color w:val="000000"/>
                      <w:sz w:val="12"/>
                      <w:szCs w:val="12"/>
                      <w:lang w:eastAsia="da-DK"/>
                    </w:rPr>
                    <w:t>Region Sjælland</w:t>
                  </w:r>
                </w:p>
              </w:tc>
              <w:tc>
                <w:tcPr>
                  <w:tcW w:w="850" w:type="dxa"/>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46,0</w:t>
                  </w:r>
                </w:p>
              </w:tc>
              <w:tc>
                <w:tcPr>
                  <w:tcW w:w="851" w:type="dxa"/>
                  <w:tcBorders>
                    <w:top w:val="nil"/>
                    <w:left w:val="nil"/>
                    <w:bottom w:val="single" w:sz="4" w:space="0" w:color="E9EFEC"/>
                  </w:tcBorders>
                  <w:shd w:val="clear" w:color="000000" w:fill="E9EFEC"/>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87,0</w:t>
                  </w:r>
                </w:p>
              </w:tc>
            </w:tr>
            <w:tr w:rsidR="00FD3510" w:rsidRPr="001B56A0" w:rsidTr="006E4429">
              <w:trPr>
                <w:trHeight w:val="210"/>
              </w:trPr>
              <w:tc>
                <w:tcPr>
                  <w:tcW w:w="1560" w:type="dxa"/>
                  <w:gridSpan w:val="2"/>
                  <w:tcBorders>
                    <w:top w:val="single" w:sz="4" w:space="0" w:color="E9EFEC"/>
                    <w:left w:val="nil"/>
                    <w:bottom w:val="dashed" w:sz="4" w:space="0" w:color="auto"/>
                    <w:right w:val="nil"/>
                  </w:tcBorders>
                  <w:shd w:val="clear" w:color="000000" w:fill="E9EFEC"/>
                  <w:vAlign w:val="center"/>
                </w:tcPr>
                <w:p w:rsidR="00FD3510" w:rsidRPr="001B56A0" w:rsidRDefault="00FD3510" w:rsidP="00FD3510">
                  <w:pPr>
                    <w:spacing w:after="0" w:line="240" w:lineRule="auto"/>
                    <w:jc w:val="both"/>
                    <w:rPr>
                      <w:rFonts w:ascii="Calibri" w:hAnsi="Calibri" w:cs="Arial"/>
                      <w:b/>
                      <w:bCs/>
                      <w:color w:val="000000"/>
                      <w:sz w:val="12"/>
                      <w:szCs w:val="12"/>
                      <w:lang w:eastAsia="da-DK"/>
                    </w:rPr>
                  </w:pPr>
                  <w:r w:rsidRPr="001B56A0">
                    <w:rPr>
                      <w:rFonts w:ascii="Calibri" w:hAnsi="Calibri" w:cs="Arial"/>
                      <w:b/>
                      <w:bCs/>
                      <w:color w:val="000000"/>
                      <w:sz w:val="12"/>
                      <w:szCs w:val="12"/>
                      <w:lang w:eastAsia="da-DK"/>
                    </w:rPr>
                    <w:t>Hele landet</w:t>
                  </w:r>
                </w:p>
              </w:tc>
              <w:tc>
                <w:tcPr>
                  <w:tcW w:w="850" w:type="dxa"/>
                  <w:tcBorders>
                    <w:top w:val="nil"/>
                    <w:left w:val="nil"/>
                    <w:bottom w:val="dashed" w:sz="4" w:space="0" w:color="auto"/>
                  </w:tcBorders>
                  <w:shd w:val="clear" w:color="000000" w:fill="E9EFEC"/>
                  <w:noWrap/>
                  <w:vAlign w:val="center"/>
                </w:tcPr>
                <w:p w:rsidR="00FD3510" w:rsidRPr="001B56A0" w:rsidRDefault="00FD3510" w:rsidP="00FD3510">
                  <w:pPr>
                    <w:spacing w:after="0" w:line="240" w:lineRule="auto"/>
                    <w:jc w:val="right"/>
                    <w:rPr>
                      <w:rFonts w:ascii="Calibri" w:hAnsi="Calibri" w:cs="Arial"/>
                      <w:b/>
                      <w:bCs/>
                      <w:color w:val="000000"/>
                      <w:sz w:val="12"/>
                      <w:szCs w:val="12"/>
                      <w:lang w:eastAsia="da-DK"/>
                    </w:rPr>
                  </w:pPr>
                  <w:r w:rsidRPr="001B56A0">
                    <w:rPr>
                      <w:rFonts w:ascii="Calibri" w:hAnsi="Calibri" w:cs="Arial"/>
                      <w:b/>
                      <w:bCs/>
                      <w:color w:val="000000"/>
                      <w:sz w:val="12"/>
                      <w:szCs w:val="12"/>
                      <w:lang w:eastAsia="da-DK"/>
                    </w:rPr>
                    <w:t>0,0</w:t>
                  </w:r>
                </w:p>
              </w:tc>
              <w:tc>
                <w:tcPr>
                  <w:tcW w:w="851" w:type="dxa"/>
                  <w:tcBorders>
                    <w:top w:val="nil"/>
                    <w:left w:val="nil"/>
                    <w:bottom w:val="dashed" w:sz="4" w:space="0" w:color="auto"/>
                  </w:tcBorders>
                  <w:shd w:val="clear" w:color="000000" w:fill="E9EFEC"/>
                </w:tcPr>
                <w:p w:rsidR="00FD3510" w:rsidRPr="001B56A0" w:rsidRDefault="00FD3510" w:rsidP="00FD3510">
                  <w:pPr>
                    <w:spacing w:after="0" w:line="240" w:lineRule="auto"/>
                    <w:jc w:val="right"/>
                    <w:rPr>
                      <w:rFonts w:ascii="Calibri" w:hAnsi="Calibri" w:cs="Arial"/>
                      <w:b/>
                      <w:bCs/>
                      <w:color w:val="000000"/>
                      <w:sz w:val="12"/>
                      <w:szCs w:val="12"/>
                      <w:lang w:eastAsia="da-DK"/>
                    </w:rPr>
                  </w:pPr>
                  <w:r>
                    <w:rPr>
                      <w:rFonts w:ascii="Calibri" w:hAnsi="Calibri" w:cs="Arial"/>
                      <w:b/>
                      <w:bCs/>
                      <w:color w:val="000000"/>
                      <w:sz w:val="12"/>
                      <w:szCs w:val="12"/>
                      <w:lang w:eastAsia="da-DK"/>
                    </w:rPr>
                    <w:t>0,0</w:t>
                  </w:r>
                </w:p>
              </w:tc>
            </w:tr>
            <w:tr w:rsidR="00FD3510" w:rsidRPr="001B56A0" w:rsidTr="006E4429">
              <w:trPr>
                <w:trHeight w:val="210"/>
              </w:trPr>
              <w:tc>
                <w:tcPr>
                  <w:tcW w:w="2410" w:type="dxa"/>
                  <w:gridSpan w:val="3"/>
                  <w:tcBorders>
                    <w:top w:val="nil"/>
                    <w:left w:val="nil"/>
                    <w:bottom w:val="nil"/>
                  </w:tcBorders>
                  <w:shd w:val="clear" w:color="000000" w:fill="E9EFEC"/>
                  <w:noWrap/>
                  <w:vAlign w:val="center"/>
                </w:tcPr>
                <w:p w:rsidR="0017212C" w:rsidRDefault="00FD3510" w:rsidP="00DF03B4">
                  <w:pPr>
                    <w:spacing w:after="0" w:line="240" w:lineRule="auto"/>
                    <w:rPr>
                      <w:rFonts w:ascii="Calibri" w:hAnsi="Calibri" w:cs="Arial"/>
                      <w:i/>
                      <w:iCs/>
                      <w:color w:val="000000"/>
                      <w:sz w:val="12"/>
                      <w:szCs w:val="12"/>
                      <w:lang w:eastAsia="da-DK"/>
                    </w:rPr>
                  </w:pPr>
                  <w:r>
                    <w:rPr>
                      <w:rFonts w:ascii="Calibri" w:hAnsi="Calibri" w:cs="Arial"/>
                      <w:i/>
                      <w:iCs/>
                      <w:color w:val="000000"/>
                      <w:sz w:val="12"/>
                      <w:szCs w:val="12"/>
                      <w:lang w:eastAsia="da-DK"/>
                    </w:rPr>
                    <w:t xml:space="preserve">Beregnet </w:t>
                  </w:r>
                  <w:r w:rsidR="00DF03B4">
                    <w:rPr>
                      <w:rFonts w:ascii="Calibri" w:hAnsi="Calibri" w:cs="Arial"/>
                      <w:i/>
                      <w:iCs/>
                      <w:color w:val="000000"/>
                      <w:sz w:val="12"/>
                      <w:szCs w:val="12"/>
                      <w:lang w:eastAsia="da-DK"/>
                    </w:rPr>
                    <w:t xml:space="preserve">ændring i </w:t>
                  </w:r>
                </w:p>
                <w:p w:rsidR="00FD3510" w:rsidRDefault="00DF03B4" w:rsidP="00DF03B4">
                  <w:pPr>
                    <w:spacing w:after="0" w:line="240" w:lineRule="auto"/>
                    <w:rPr>
                      <w:rFonts w:ascii="Calibri" w:hAnsi="Calibri" w:cs="Arial"/>
                      <w:i/>
                      <w:iCs/>
                      <w:color w:val="000000"/>
                      <w:sz w:val="12"/>
                      <w:szCs w:val="12"/>
                      <w:lang w:eastAsia="da-DK"/>
                    </w:rPr>
                  </w:pPr>
                  <w:r>
                    <w:rPr>
                      <w:rFonts w:ascii="Calibri" w:hAnsi="Calibri" w:cs="Arial"/>
                      <w:i/>
                      <w:iCs/>
                      <w:color w:val="000000"/>
                      <w:sz w:val="12"/>
                      <w:szCs w:val="12"/>
                      <w:lang w:eastAsia="da-DK"/>
                    </w:rPr>
                    <w:t>p</w:t>
                  </w:r>
                  <w:r w:rsidR="00FD3510" w:rsidRPr="001B56A0">
                    <w:rPr>
                      <w:rFonts w:ascii="Calibri" w:hAnsi="Calibri" w:cs="Arial"/>
                      <w:i/>
                      <w:iCs/>
                      <w:color w:val="000000"/>
                      <w:sz w:val="12"/>
                      <w:szCs w:val="12"/>
                      <w:lang w:eastAsia="da-DK"/>
                    </w:rPr>
                    <w:t>ct. af beskatnings</w:t>
                  </w:r>
                  <w:r w:rsidR="00FD3510">
                    <w:rPr>
                      <w:rFonts w:ascii="Calibri" w:hAnsi="Calibri" w:cs="Arial"/>
                      <w:i/>
                      <w:iCs/>
                      <w:color w:val="000000"/>
                      <w:sz w:val="12"/>
                      <w:szCs w:val="12"/>
                      <w:lang w:eastAsia="da-DK"/>
                    </w:rPr>
                    <w:t>niveau</w:t>
                  </w:r>
                </w:p>
                <w:p w:rsidR="00B0298D" w:rsidRPr="006E6AB5" w:rsidRDefault="00B0298D" w:rsidP="00DF03B4">
                  <w:pPr>
                    <w:spacing w:after="0" w:line="240" w:lineRule="auto"/>
                    <w:rPr>
                      <w:rFonts w:ascii="Calibri" w:hAnsi="Calibri" w:cs="Arial"/>
                      <w:i/>
                      <w:iCs/>
                      <w:color w:val="000000"/>
                      <w:sz w:val="12"/>
                      <w:szCs w:val="12"/>
                      <w:lang w:eastAsia="da-DK"/>
                    </w:rPr>
                  </w:pPr>
                  <w:r>
                    <w:rPr>
                      <w:rFonts w:eastAsia="Times New Roman" w:cs="Arial"/>
                      <w:bCs/>
                      <w:sz w:val="12"/>
                      <w:szCs w:val="12"/>
                      <w:lang w:eastAsia="da-DK"/>
                    </w:rPr>
                    <w:t>(-</w:t>
                  </w:r>
                  <w:r w:rsidRPr="00B0298D">
                    <w:rPr>
                      <w:rFonts w:eastAsia="Times New Roman" w:cs="Arial"/>
                      <w:bCs/>
                      <w:sz w:val="12"/>
                      <w:szCs w:val="12"/>
                      <w:lang w:eastAsia="da-DK"/>
                    </w:rPr>
                    <w:t>=gevinst)</w:t>
                  </w:r>
                </w:p>
              </w:tc>
              <w:tc>
                <w:tcPr>
                  <w:tcW w:w="851" w:type="dxa"/>
                  <w:tcBorders>
                    <w:top w:val="nil"/>
                    <w:left w:val="nil"/>
                    <w:bottom w:val="nil"/>
                  </w:tcBorders>
                  <w:shd w:val="clear" w:color="000000" w:fill="E9EFEC"/>
                </w:tcPr>
                <w:p w:rsidR="00FD3510" w:rsidRDefault="00FD3510" w:rsidP="00FD3510">
                  <w:pPr>
                    <w:spacing w:after="0" w:line="240" w:lineRule="auto"/>
                    <w:jc w:val="right"/>
                    <w:rPr>
                      <w:rFonts w:ascii="Calibri" w:hAnsi="Calibri" w:cs="Arial"/>
                      <w:i/>
                      <w:iCs/>
                      <w:color w:val="000000"/>
                      <w:sz w:val="12"/>
                      <w:szCs w:val="12"/>
                      <w:lang w:eastAsia="da-DK"/>
                    </w:rPr>
                  </w:pPr>
                </w:p>
              </w:tc>
            </w:tr>
            <w:tr w:rsidR="00FD3510" w:rsidRPr="001B56A0" w:rsidTr="006E4429">
              <w:trPr>
                <w:trHeight w:val="210"/>
              </w:trPr>
              <w:tc>
                <w:tcPr>
                  <w:tcW w:w="1149" w:type="dxa"/>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rPr>
                      <w:rFonts w:ascii="Calibri" w:hAnsi="Calibri" w:cs="Arial"/>
                      <w:color w:val="000000"/>
                      <w:sz w:val="12"/>
                      <w:szCs w:val="12"/>
                      <w:lang w:eastAsia="da-DK"/>
                    </w:rPr>
                  </w:pPr>
                  <w:r w:rsidRPr="001B56A0">
                    <w:rPr>
                      <w:rFonts w:ascii="Calibri" w:hAnsi="Calibri" w:cs="Arial"/>
                      <w:color w:val="000000"/>
                      <w:sz w:val="12"/>
                      <w:szCs w:val="12"/>
                      <w:lang w:eastAsia="da-DK"/>
                    </w:rPr>
                    <w:t>Region Nordjylland</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0,07</w:t>
                  </w:r>
                </w:p>
              </w:tc>
              <w:tc>
                <w:tcPr>
                  <w:tcW w:w="851" w:type="dxa"/>
                  <w:tcBorders>
                    <w:top w:val="nil"/>
                    <w:left w:val="nil"/>
                    <w:bottom w:val="single" w:sz="4" w:space="0" w:color="E9EFEC"/>
                  </w:tcBorders>
                  <w:shd w:val="clear" w:color="000000" w:fill="E9EFEC"/>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0,04</w:t>
                  </w:r>
                </w:p>
              </w:tc>
            </w:tr>
            <w:tr w:rsidR="00FD3510" w:rsidRPr="001B56A0" w:rsidTr="006E4429">
              <w:trPr>
                <w:trHeight w:val="210"/>
              </w:trPr>
              <w:tc>
                <w:tcPr>
                  <w:tcW w:w="1149" w:type="dxa"/>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rPr>
                      <w:rFonts w:ascii="Calibri" w:hAnsi="Calibri" w:cs="Arial"/>
                      <w:color w:val="000000"/>
                      <w:sz w:val="12"/>
                      <w:szCs w:val="12"/>
                      <w:lang w:eastAsia="da-DK"/>
                    </w:rPr>
                  </w:pPr>
                  <w:r w:rsidRPr="001B56A0">
                    <w:rPr>
                      <w:rFonts w:ascii="Calibri" w:hAnsi="Calibri" w:cs="Arial"/>
                      <w:color w:val="000000"/>
                      <w:sz w:val="12"/>
                      <w:szCs w:val="12"/>
                      <w:lang w:eastAsia="da-DK"/>
                    </w:rPr>
                    <w:t>Region Midtjylland</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0,01</w:t>
                  </w:r>
                </w:p>
              </w:tc>
              <w:tc>
                <w:tcPr>
                  <w:tcW w:w="851" w:type="dxa"/>
                  <w:tcBorders>
                    <w:top w:val="nil"/>
                    <w:left w:val="nil"/>
                    <w:bottom w:val="single" w:sz="4" w:space="0" w:color="E9EFEC"/>
                  </w:tcBorders>
                  <w:shd w:val="clear" w:color="000000" w:fill="E9EFEC"/>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0,00</w:t>
                  </w:r>
                </w:p>
              </w:tc>
            </w:tr>
            <w:tr w:rsidR="00FD3510" w:rsidRPr="001B56A0" w:rsidTr="006E4429">
              <w:trPr>
                <w:trHeight w:val="210"/>
              </w:trPr>
              <w:tc>
                <w:tcPr>
                  <w:tcW w:w="1149" w:type="dxa"/>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rPr>
                      <w:rFonts w:ascii="Calibri" w:hAnsi="Calibri" w:cs="Arial"/>
                      <w:color w:val="000000"/>
                      <w:sz w:val="12"/>
                      <w:szCs w:val="12"/>
                      <w:lang w:eastAsia="da-DK"/>
                    </w:rPr>
                  </w:pPr>
                  <w:r w:rsidRPr="001B56A0">
                    <w:rPr>
                      <w:rFonts w:ascii="Calibri" w:hAnsi="Calibri" w:cs="Arial"/>
                      <w:color w:val="000000"/>
                      <w:sz w:val="12"/>
                      <w:szCs w:val="12"/>
                      <w:lang w:eastAsia="da-DK"/>
                    </w:rPr>
                    <w:t>Region Syddanmark</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sidRPr="001B56A0">
                    <w:rPr>
                      <w:rFonts w:ascii="Calibri" w:hAnsi="Calibri" w:cs="Arial"/>
                      <w:color w:val="000000"/>
                      <w:sz w:val="12"/>
                      <w:szCs w:val="12"/>
                      <w:lang w:eastAsia="da-DK"/>
                    </w:rPr>
                    <w:t>0,04</w:t>
                  </w:r>
                </w:p>
              </w:tc>
              <w:tc>
                <w:tcPr>
                  <w:tcW w:w="851" w:type="dxa"/>
                  <w:tcBorders>
                    <w:top w:val="nil"/>
                    <w:left w:val="nil"/>
                    <w:bottom w:val="single" w:sz="4" w:space="0" w:color="E9EFEC"/>
                  </w:tcBorders>
                  <w:shd w:val="clear" w:color="000000" w:fill="E9EFEC"/>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0,05</w:t>
                  </w:r>
                </w:p>
              </w:tc>
            </w:tr>
            <w:tr w:rsidR="00FD3510" w:rsidRPr="001B56A0" w:rsidTr="006E4429">
              <w:trPr>
                <w:trHeight w:val="210"/>
              </w:trPr>
              <w:tc>
                <w:tcPr>
                  <w:tcW w:w="1149" w:type="dxa"/>
                  <w:tcBorders>
                    <w:top w:val="nil"/>
                    <w:left w:val="nil"/>
                    <w:bottom w:val="single" w:sz="4" w:space="0" w:color="E9EFEC"/>
                    <w:right w:val="nil"/>
                  </w:tcBorders>
                  <w:shd w:val="clear" w:color="000000" w:fill="E9EFEC"/>
                  <w:vAlign w:val="center"/>
                </w:tcPr>
                <w:p w:rsidR="00FD3510" w:rsidRPr="001B56A0" w:rsidRDefault="00FD3510" w:rsidP="00FD3510">
                  <w:pPr>
                    <w:spacing w:after="0" w:line="240" w:lineRule="auto"/>
                    <w:rPr>
                      <w:rFonts w:ascii="Calibri" w:hAnsi="Calibri" w:cs="Arial"/>
                      <w:color w:val="000000"/>
                      <w:sz w:val="12"/>
                      <w:szCs w:val="12"/>
                      <w:lang w:eastAsia="da-DK"/>
                    </w:rPr>
                  </w:pPr>
                  <w:r w:rsidRPr="001B56A0">
                    <w:rPr>
                      <w:rFonts w:ascii="Calibri" w:hAnsi="Calibri" w:cs="Arial"/>
                      <w:color w:val="000000"/>
                      <w:sz w:val="12"/>
                      <w:szCs w:val="12"/>
                      <w:lang w:eastAsia="da-DK"/>
                    </w:rPr>
                    <w:t>Region Hovedstaden</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w:t>
                  </w:r>
                  <w:r w:rsidRPr="001B56A0">
                    <w:rPr>
                      <w:rFonts w:ascii="Calibri" w:hAnsi="Calibri" w:cs="Arial"/>
                      <w:color w:val="000000"/>
                      <w:sz w:val="12"/>
                      <w:szCs w:val="12"/>
                      <w:lang w:eastAsia="da-DK"/>
                    </w:rPr>
                    <w:t>0,03</w:t>
                  </w:r>
                </w:p>
              </w:tc>
              <w:tc>
                <w:tcPr>
                  <w:tcW w:w="851" w:type="dxa"/>
                  <w:tcBorders>
                    <w:top w:val="nil"/>
                    <w:left w:val="nil"/>
                    <w:bottom w:val="single" w:sz="4" w:space="0" w:color="E9EFEC"/>
                  </w:tcBorders>
                  <w:shd w:val="clear" w:color="000000" w:fill="E9EFEC"/>
                  <w:vAlign w:val="center"/>
                </w:tcPr>
                <w:p w:rsidR="00FD351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-0,1</w:t>
                  </w:r>
                </w:p>
              </w:tc>
            </w:tr>
            <w:tr w:rsidR="00FD3510" w:rsidRPr="001B56A0" w:rsidTr="006E4429">
              <w:trPr>
                <w:trHeight w:val="210"/>
              </w:trPr>
              <w:tc>
                <w:tcPr>
                  <w:tcW w:w="1149" w:type="dxa"/>
                  <w:tcBorders>
                    <w:top w:val="nil"/>
                    <w:left w:val="nil"/>
                    <w:bottom w:val="nil"/>
                    <w:right w:val="nil"/>
                  </w:tcBorders>
                  <w:shd w:val="clear" w:color="000000" w:fill="E9EFEC"/>
                  <w:vAlign w:val="center"/>
                </w:tcPr>
                <w:p w:rsidR="00FD3510" w:rsidRPr="001B56A0" w:rsidRDefault="00FD3510" w:rsidP="00FD3510">
                  <w:pPr>
                    <w:spacing w:after="0" w:line="240" w:lineRule="auto"/>
                    <w:rPr>
                      <w:rFonts w:ascii="Calibri" w:hAnsi="Calibri" w:cs="Arial"/>
                      <w:color w:val="000000"/>
                      <w:sz w:val="12"/>
                      <w:szCs w:val="12"/>
                      <w:lang w:eastAsia="da-DK"/>
                    </w:rPr>
                  </w:pPr>
                  <w:r w:rsidRPr="001B56A0">
                    <w:rPr>
                      <w:rFonts w:ascii="Calibri" w:hAnsi="Calibri" w:cs="Arial"/>
                      <w:color w:val="000000"/>
                      <w:sz w:val="12"/>
                      <w:szCs w:val="12"/>
                      <w:lang w:eastAsia="da-DK"/>
                    </w:rPr>
                    <w:t>Region Sjælland</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w:t>
                  </w:r>
                  <w:r w:rsidRPr="001B56A0">
                    <w:rPr>
                      <w:rFonts w:ascii="Calibri" w:hAnsi="Calibri" w:cs="Arial"/>
                      <w:color w:val="000000"/>
                      <w:sz w:val="12"/>
                      <w:szCs w:val="12"/>
                      <w:lang w:eastAsia="da-DK"/>
                    </w:rPr>
                    <w:t>0,03</w:t>
                  </w:r>
                </w:p>
              </w:tc>
              <w:tc>
                <w:tcPr>
                  <w:tcW w:w="851" w:type="dxa"/>
                  <w:tcBorders>
                    <w:top w:val="nil"/>
                    <w:left w:val="nil"/>
                    <w:bottom w:val="single" w:sz="4" w:space="0" w:color="E9EFEC"/>
                  </w:tcBorders>
                  <w:shd w:val="clear" w:color="000000" w:fill="E9EFEC"/>
                  <w:vAlign w:val="center"/>
                </w:tcPr>
                <w:p w:rsidR="00FD3510" w:rsidRDefault="00FD3510" w:rsidP="00FD3510">
                  <w:pPr>
                    <w:spacing w:after="0" w:line="240" w:lineRule="auto"/>
                    <w:jc w:val="right"/>
                    <w:rPr>
                      <w:rFonts w:ascii="Calibri" w:hAnsi="Calibri" w:cs="Arial"/>
                      <w:color w:val="000000"/>
                      <w:sz w:val="12"/>
                      <w:szCs w:val="12"/>
                      <w:lang w:eastAsia="da-DK"/>
                    </w:rPr>
                  </w:pPr>
                  <w:r>
                    <w:rPr>
                      <w:rFonts w:ascii="Calibri" w:hAnsi="Calibri" w:cs="Arial"/>
                      <w:color w:val="000000"/>
                      <w:sz w:val="12"/>
                      <w:szCs w:val="12"/>
                      <w:lang w:eastAsia="da-DK"/>
                    </w:rPr>
                    <w:t>-0,6</w:t>
                  </w:r>
                </w:p>
              </w:tc>
            </w:tr>
            <w:tr w:rsidR="00FD3510" w:rsidRPr="001B56A0" w:rsidTr="006E4429">
              <w:trPr>
                <w:trHeight w:val="210"/>
              </w:trPr>
              <w:tc>
                <w:tcPr>
                  <w:tcW w:w="1149" w:type="dxa"/>
                  <w:tcBorders>
                    <w:top w:val="nil"/>
                    <w:left w:val="nil"/>
                    <w:bottom w:val="nil"/>
                    <w:right w:val="nil"/>
                  </w:tcBorders>
                  <w:shd w:val="clear" w:color="000000" w:fill="E9EFEC"/>
                  <w:vAlign w:val="center"/>
                </w:tcPr>
                <w:p w:rsidR="00FD3510" w:rsidRPr="001B56A0" w:rsidRDefault="00FD3510" w:rsidP="00FD3510">
                  <w:pPr>
                    <w:spacing w:after="0" w:line="240" w:lineRule="auto"/>
                    <w:rPr>
                      <w:rFonts w:ascii="Calibri" w:hAnsi="Calibri" w:cs="Arial"/>
                      <w:b/>
                      <w:bCs/>
                      <w:color w:val="000000"/>
                      <w:sz w:val="12"/>
                      <w:szCs w:val="12"/>
                      <w:lang w:eastAsia="da-DK"/>
                    </w:rPr>
                  </w:pPr>
                  <w:r w:rsidRPr="001B56A0">
                    <w:rPr>
                      <w:rFonts w:ascii="Calibri" w:hAnsi="Calibri" w:cs="Arial"/>
                      <w:b/>
                      <w:bCs/>
                      <w:color w:val="000000"/>
                      <w:sz w:val="12"/>
                      <w:szCs w:val="12"/>
                      <w:lang w:eastAsia="da-DK"/>
                    </w:rPr>
                    <w:t>Hele landet</w:t>
                  </w:r>
                </w:p>
              </w:tc>
              <w:tc>
                <w:tcPr>
                  <w:tcW w:w="1261" w:type="dxa"/>
                  <w:gridSpan w:val="2"/>
                  <w:tcBorders>
                    <w:top w:val="nil"/>
                    <w:left w:val="nil"/>
                    <w:bottom w:val="single" w:sz="4" w:space="0" w:color="E9EFEC"/>
                  </w:tcBorders>
                  <w:shd w:val="clear" w:color="000000" w:fill="E9EFEC"/>
                  <w:noWrap/>
                  <w:vAlign w:val="center"/>
                </w:tcPr>
                <w:p w:rsidR="00FD3510" w:rsidRPr="001B56A0" w:rsidRDefault="00FD3510" w:rsidP="00FD3510">
                  <w:pPr>
                    <w:spacing w:after="0" w:line="240" w:lineRule="auto"/>
                    <w:jc w:val="right"/>
                    <w:rPr>
                      <w:rFonts w:ascii="Calibri" w:hAnsi="Calibri" w:cs="Arial"/>
                      <w:b/>
                      <w:bCs/>
                      <w:color w:val="000000"/>
                      <w:sz w:val="12"/>
                      <w:szCs w:val="12"/>
                      <w:lang w:eastAsia="da-DK"/>
                    </w:rPr>
                  </w:pPr>
                  <w:r w:rsidRPr="001B56A0">
                    <w:rPr>
                      <w:rFonts w:ascii="Calibri" w:hAnsi="Calibri" w:cs="Arial"/>
                      <w:b/>
                      <w:bCs/>
                      <w:color w:val="000000"/>
                      <w:sz w:val="12"/>
                      <w:szCs w:val="12"/>
                      <w:lang w:eastAsia="da-DK"/>
                    </w:rPr>
                    <w:t>0,0</w:t>
                  </w:r>
                </w:p>
              </w:tc>
              <w:tc>
                <w:tcPr>
                  <w:tcW w:w="851" w:type="dxa"/>
                  <w:tcBorders>
                    <w:top w:val="nil"/>
                    <w:left w:val="nil"/>
                    <w:bottom w:val="single" w:sz="4" w:space="0" w:color="E9EFEC"/>
                  </w:tcBorders>
                  <w:shd w:val="clear" w:color="000000" w:fill="E9EFEC"/>
                  <w:vAlign w:val="center"/>
                </w:tcPr>
                <w:p w:rsidR="00FD3510" w:rsidRPr="001B56A0" w:rsidRDefault="00FD3510" w:rsidP="00FD3510">
                  <w:pPr>
                    <w:spacing w:after="0" w:line="240" w:lineRule="auto"/>
                    <w:jc w:val="right"/>
                    <w:rPr>
                      <w:rFonts w:ascii="Calibri" w:hAnsi="Calibri" w:cs="Arial"/>
                      <w:b/>
                      <w:bCs/>
                      <w:color w:val="000000"/>
                      <w:sz w:val="12"/>
                      <w:szCs w:val="12"/>
                      <w:lang w:eastAsia="da-DK"/>
                    </w:rPr>
                  </w:pPr>
                  <w:r>
                    <w:rPr>
                      <w:rFonts w:ascii="Calibri" w:hAnsi="Calibri" w:cs="Arial"/>
                      <w:b/>
                      <w:bCs/>
                      <w:color w:val="000000"/>
                      <w:sz w:val="12"/>
                      <w:szCs w:val="12"/>
                      <w:lang w:eastAsia="da-DK"/>
                    </w:rPr>
                    <w:t>0,0</w:t>
                  </w:r>
                </w:p>
              </w:tc>
            </w:tr>
          </w:tbl>
          <w:p w:rsidR="00FD3510" w:rsidRPr="009A33B9" w:rsidRDefault="00FD3510" w:rsidP="00FD3510">
            <w:pPr>
              <w:spacing w:after="0" w:line="240" w:lineRule="auto"/>
              <w:jc w:val="both"/>
              <w:rPr>
                <w:rFonts w:ascii="Calibri" w:hAnsi="Calibri"/>
                <w:sz w:val="14"/>
              </w:rPr>
            </w:pPr>
          </w:p>
        </w:tc>
        <w:tc>
          <w:tcPr>
            <w:tcW w:w="3827" w:type="dxa"/>
            <w:shd w:val="clear" w:color="auto" w:fill="E9EFEC"/>
          </w:tcPr>
          <w:tbl>
            <w:tblPr>
              <w:tblpPr w:leftFromText="141" w:rightFromText="141" w:vertAnchor="text" w:horzAnchor="margin" w:tblpY="63"/>
              <w:tblOverlap w:val="never"/>
              <w:tblW w:w="3969" w:type="dxa"/>
              <w:tblLayout w:type="fixed"/>
              <w:tblCellMar>
                <w:left w:w="70" w:type="dxa"/>
                <w:right w:w="70" w:type="dxa"/>
              </w:tblCellMar>
              <w:tblLook w:val="00A0" w:firstRow="1" w:lastRow="0" w:firstColumn="1" w:lastColumn="0" w:noHBand="0" w:noVBand="0"/>
            </w:tblPr>
            <w:tblGrid>
              <w:gridCol w:w="709"/>
              <w:gridCol w:w="567"/>
              <w:gridCol w:w="567"/>
              <w:gridCol w:w="709"/>
              <w:gridCol w:w="142"/>
              <w:gridCol w:w="440"/>
              <w:gridCol w:w="835"/>
            </w:tblGrid>
            <w:tr w:rsidR="00FD3510" w:rsidRPr="0072148E" w:rsidTr="00FD3510">
              <w:trPr>
                <w:trHeight w:val="20"/>
              </w:trPr>
              <w:tc>
                <w:tcPr>
                  <w:tcW w:w="1843" w:type="dxa"/>
                  <w:gridSpan w:val="3"/>
                  <w:tcBorders>
                    <w:left w:val="nil"/>
                    <w:bottom w:val="single" w:sz="4" w:space="0" w:color="auto"/>
                    <w:right w:val="dotted" w:sz="4" w:space="0" w:color="auto"/>
                  </w:tcBorders>
                  <w:shd w:val="clear" w:color="000000" w:fill="E9EFEC"/>
                  <w:noWrap/>
                  <w:vAlign w:val="bottom"/>
                </w:tcPr>
                <w:p w:rsidR="00FD3510" w:rsidRPr="0072148E" w:rsidRDefault="00FD3510" w:rsidP="00B0298D">
                  <w:pPr>
                    <w:spacing w:after="0" w:line="240" w:lineRule="auto"/>
                    <w:rPr>
                      <w:rFonts w:ascii="Calibri" w:hAnsi="Calibri" w:cs="Arial"/>
                      <w:i/>
                      <w:iCs/>
                      <w:color w:val="000000"/>
                      <w:sz w:val="12"/>
                      <w:szCs w:val="12"/>
                      <w:lang w:eastAsia="da-DK"/>
                    </w:rPr>
                  </w:pPr>
                  <w:r w:rsidRPr="0072148E">
                    <w:rPr>
                      <w:rFonts w:ascii="Calibri" w:hAnsi="Calibri" w:cs="Arial"/>
                      <w:i/>
                      <w:iCs/>
                      <w:color w:val="000000"/>
                      <w:sz w:val="12"/>
                      <w:szCs w:val="12"/>
                      <w:lang w:eastAsia="da-DK"/>
                    </w:rPr>
                    <w:t xml:space="preserve">Størst </w:t>
                  </w:r>
                  <w:r w:rsidR="00B0298D">
                    <w:rPr>
                      <w:rFonts w:ascii="Calibri" w:hAnsi="Calibri" w:cs="Arial"/>
                      <w:i/>
                      <w:iCs/>
                      <w:color w:val="000000"/>
                      <w:sz w:val="12"/>
                      <w:szCs w:val="12"/>
                      <w:lang w:eastAsia="da-DK"/>
                    </w:rPr>
                    <w:t>ændring</w:t>
                  </w:r>
                  <w:r w:rsidRPr="0072148E">
                    <w:rPr>
                      <w:rFonts w:ascii="Calibri" w:hAnsi="Calibri" w:cs="Arial"/>
                      <w:i/>
                      <w:iCs/>
                      <w:color w:val="000000"/>
                      <w:sz w:val="12"/>
                      <w:szCs w:val="12"/>
                      <w:lang w:eastAsia="da-DK"/>
                    </w:rPr>
                    <w:t> </w:t>
                  </w:r>
                </w:p>
              </w:tc>
              <w:tc>
                <w:tcPr>
                  <w:tcW w:w="2126" w:type="dxa"/>
                  <w:gridSpan w:val="4"/>
                  <w:tcBorders>
                    <w:left w:val="nil"/>
                    <w:bottom w:val="single" w:sz="4" w:space="0" w:color="auto"/>
                    <w:right w:val="nil"/>
                  </w:tcBorders>
                  <w:shd w:val="clear" w:color="000000" w:fill="E9EFEC"/>
                  <w:noWrap/>
                  <w:vAlign w:val="bottom"/>
                </w:tcPr>
                <w:p w:rsidR="00FD3510" w:rsidRPr="0072148E" w:rsidRDefault="00FD3510" w:rsidP="00FD3510">
                  <w:pPr>
                    <w:spacing w:after="0" w:line="240" w:lineRule="auto"/>
                    <w:rPr>
                      <w:rFonts w:ascii="Calibri" w:hAnsi="Calibri" w:cs="Arial"/>
                      <w:i/>
                      <w:iCs/>
                      <w:color w:val="000000"/>
                      <w:sz w:val="12"/>
                      <w:szCs w:val="12"/>
                      <w:lang w:eastAsia="da-DK"/>
                    </w:rPr>
                  </w:pPr>
                </w:p>
              </w:tc>
            </w:tr>
            <w:tr w:rsidR="00FD3510" w:rsidRPr="0072148E" w:rsidTr="00B0298D">
              <w:trPr>
                <w:trHeight w:val="844"/>
              </w:trPr>
              <w:tc>
                <w:tcPr>
                  <w:tcW w:w="709" w:type="dxa"/>
                  <w:tcBorders>
                    <w:top w:val="single" w:sz="4" w:space="0" w:color="auto"/>
                    <w:left w:val="nil"/>
                    <w:bottom w:val="single" w:sz="4" w:space="0" w:color="auto"/>
                    <w:right w:val="nil"/>
                  </w:tcBorders>
                  <w:shd w:val="clear" w:color="000000" w:fill="E9EFEC"/>
                  <w:vAlign w:val="center"/>
                </w:tcPr>
                <w:p w:rsidR="00FD3510" w:rsidRPr="00FD3510" w:rsidRDefault="00FD3510" w:rsidP="00FD3510">
                  <w:pPr>
                    <w:spacing w:after="0" w:line="240" w:lineRule="auto"/>
                    <w:ind w:right="-70"/>
                    <w:jc w:val="center"/>
                    <w:rPr>
                      <w:rFonts w:ascii="Calibri" w:hAnsi="Calibri" w:cs="Arial"/>
                      <w:color w:val="000000"/>
                      <w:sz w:val="12"/>
                      <w:szCs w:val="12"/>
                      <w:lang w:eastAsia="da-DK"/>
                    </w:rPr>
                  </w:pPr>
                  <w:r w:rsidRPr="00FD3510">
                    <w:rPr>
                      <w:rFonts w:ascii="Calibri" w:hAnsi="Calibri" w:cs="Arial"/>
                      <w:color w:val="000000"/>
                      <w:sz w:val="12"/>
                      <w:szCs w:val="12"/>
                      <w:lang w:eastAsia="da-DK"/>
                    </w:rPr>
                    <w:t> </w:t>
                  </w:r>
                </w:p>
              </w:tc>
              <w:tc>
                <w:tcPr>
                  <w:tcW w:w="567" w:type="dxa"/>
                  <w:tcBorders>
                    <w:top w:val="single" w:sz="4" w:space="0" w:color="auto"/>
                    <w:left w:val="nil"/>
                    <w:bottom w:val="single" w:sz="4" w:space="0" w:color="auto"/>
                    <w:right w:val="nil"/>
                  </w:tcBorders>
                  <w:shd w:val="clear" w:color="000000" w:fill="E9EFEC"/>
                  <w:vAlign w:val="center"/>
                </w:tcPr>
                <w:p w:rsidR="00FD3510" w:rsidRPr="00B0298D" w:rsidRDefault="00FD3510" w:rsidP="00B0298D">
                  <w:pPr>
                    <w:spacing w:after="0" w:line="240" w:lineRule="auto"/>
                    <w:ind w:left="-46" w:right="-55"/>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xml:space="preserve">Beregnet </w:t>
                  </w:r>
                  <w:r w:rsidR="00B0298D" w:rsidRPr="00B0298D">
                    <w:rPr>
                      <w:rFonts w:ascii="Calibri" w:hAnsi="Calibri" w:cs="Arial"/>
                      <w:i/>
                      <w:color w:val="000000"/>
                      <w:sz w:val="11"/>
                      <w:szCs w:val="11"/>
                      <w:lang w:eastAsia="da-DK"/>
                    </w:rPr>
                    <w:t>ændring</w:t>
                  </w:r>
                  <w:r w:rsidRPr="00B0298D">
                    <w:rPr>
                      <w:rFonts w:ascii="Calibri" w:hAnsi="Calibri" w:cs="Arial"/>
                      <w:i/>
                      <w:color w:val="000000"/>
                      <w:sz w:val="11"/>
                      <w:szCs w:val="11"/>
                      <w:lang w:eastAsia="da-DK"/>
                    </w:rPr>
                    <w:t xml:space="preserve"> (Mio. kr.)</w:t>
                  </w:r>
                </w:p>
                <w:p w:rsidR="00B0298D" w:rsidRPr="00B0298D" w:rsidRDefault="00B0298D" w:rsidP="00B0298D">
                  <w:pPr>
                    <w:spacing w:after="0" w:line="240" w:lineRule="auto"/>
                    <w:ind w:left="-46" w:right="-55"/>
                    <w:jc w:val="center"/>
                    <w:rPr>
                      <w:rFonts w:ascii="Calibri" w:hAnsi="Calibri" w:cs="Arial"/>
                      <w:i/>
                      <w:color w:val="000000"/>
                      <w:sz w:val="11"/>
                      <w:szCs w:val="11"/>
                      <w:lang w:eastAsia="da-DK"/>
                    </w:rPr>
                  </w:pPr>
                  <w:r w:rsidRPr="00B0298D">
                    <w:rPr>
                      <w:rFonts w:eastAsia="Times New Roman" w:cs="Arial"/>
                      <w:bCs/>
                      <w:sz w:val="11"/>
                      <w:szCs w:val="11"/>
                      <w:lang w:eastAsia="da-DK"/>
                    </w:rPr>
                    <w:t>(+=gevinst)</w:t>
                  </w:r>
                </w:p>
              </w:tc>
              <w:tc>
                <w:tcPr>
                  <w:tcW w:w="567" w:type="dxa"/>
                  <w:tcBorders>
                    <w:top w:val="single" w:sz="4" w:space="0" w:color="auto"/>
                    <w:left w:val="nil"/>
                    <w:bottom w:val="single" w:sz="4" w:space="0" w:color="auto"/>
                    <w:right w:val="dotted" w:sz="4" w:space="0" w:color="auto"/>
                  </w:tcBorders>
                  <w:shd w:val="clear" w:color="000000" w:fill="E9EFEC"/>
                  <w:vAlign w:val="center"/>
                </w:tcPr>
                <w:p w:rsidR="00FD3510" w:rsidRPr="00B0298D" w:rsidRDefault="00FD3510" w:rsidP="00DF03B4">
                  <w:pPr>
                    <w:spacing w:after="0" w:line="240" w:lineRule="auto"/>
                    <w:ind w:left="-85"/>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xml:space="preserve">Beregnet </w:t>
                  </w:r>
                  <w:r w:rsidR="00DF03B4" w:rsidRPr="00B0298D">
                    <w:rPr>
                      <w:rFonts w:ascii="Calibri" w:hAnsi="Calibri" w:cs="Arial"/>
                      <w:i/>
                      <w:color w:val="000000"/>
                      <w:sz w:val="11"/>
                      <w:szCs w:val="11"/>
                      <w:lang w:eastAsia="da-DK"/>
                    </w:rPr>
                    <w:t>ændring i p</w:t>
                  </w:r>
                  <w:r w:rsidRPr="00B0298D">
                    <w:rPr>
                      <w:rFonts w:ascii="Calibri" w:hAnsi="Calibri" w:cs="Arial"/>
                      <w:i/>
                      <w:color w:val="000000"/>
                      <w:sz w:val="11"/>
                      <w:szCs w:val="11"/>
                      <w:lang w:eastAsia="da-DK"/>
                    </w:rPr>
                    <w:t>ct. af beskatningsniveau</w:t>
                  </w:r>
                </w:p>
                <w:p w:rsidR="00B0298D" w:rsidRPr="00B0298D" w:rsidRDefault="00B0298D" w:rsidP="00DF03B4">
                  <w:pPr>
                    <w:spacing w:after="0" w:line="240" w:lineRule="auto"/>
                    <w:ind w:left="-85"/>
                    <w:jc w:val="center"/>
                    <w:rPr>
                      <w:rFonts w:ascii="Calibri" w:hAnsi="Calibri" w:cs="Arial"/>
                      <w:i/>
                      <w:color w:val="000000"/>
                      <w:sz w:val="11"/>
                      <w:szCs w:val="11"/>
                      <w:lang w:eastAsia="da-DK"/>
                    </w:rPr>
                  </w:pPr>
                  <w:r w:rsidRPr="00B0298D">
                    <w:rPr>
                      <w:rFonts w:eastAsia="Times New Roman" w:cs="Arial"/>
                      <w:bCs/>
                      <w:sz w:val="11"/>
                      <w:szCs w:val="11"/>
                      <w:lang w:eastAsia="da-DK"/>
                    </w:rPr>
                    <w:t>(-</w:t>
                  </w:r>
                  <w:r w:rsidRPr="00B0298D">
                    <w:rPr>
                      <w:rFonts w:eastAsia="Times New Roman" w:cs="Arial"/>
                      <w:bCs/>
                      <w:sz w:val="11"/>
                      <w:szCs w:val="11"/>
                      <w:lang w:eastAsia="da-DK"/>
                    </w:rPr>
                    <w:t>=gevinst)</w:t>
                  </w:r>
                </w:p>
              </w:tc>
              <w:tc>
                <w:tcPr>
                  <w:tcW w:w="709" w:type="dxa"/>
                  <w:tcBorders>
                    <w:top w:val="single" w:sz="4" w:space="0" w:color="auto"/>
                    <w:left w:val="nil"/>
                    <w:bottom w:val="single" w:sz="4" w:space="0" w:color="auto"/>
                    <w:right w:val="nil"/>
                  </w:tcBorders>
                  <w:shd w:val="clear" w:color="000000" w:fill="E9EFEC"/>
                  <w:vAlign w:val="center"/>
                </w:tcPr>
                <w:p w:rsidR="00FD3510" w:rsidRPr="00B0298D" w:rsidRDefault="00FD3510" w:rsidP="00FD3510">
                  <w:pPr>
                    <w:spacing w:after="0" w:line="240" w:lineRule="auto"/>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w:t>
                  </w:r>
                </w:p>
              </w:tc>
              <w:tc>
                <w:tcPr>
                  <w:tcW w:w="582" w:type="dxa"/>
                  <w:gridSpan w:val="2"/>
                  <w:tcBorders>
                    <w:top w:val="single" w:sz="4" w:space="0" w:color="auto"/>
                    <w:left w:val="nil"/>
                    <w:bottom w:val="single" w:sz="4" w:space="0" w:color="auto"/>
                    <w:right w:val="nil"/>
                  </w:tcBorders>
                  <w:shd w:val="clear" w:color="000000" w:fill="E9EFEC"/>
                  <w:vAlign w:val="center"/>
                </w:tcPr>
                <w:p w:rsidR="00FD3510" w:rsidRPr="00B0298D" w:rsidRDefault="00FD3510" w:rsidP="00B0298D">
                  <w:pPr>
                    <w:spacing w:after="0" w:line="240" w:lineRule="auto"/>
                    <w:ind w:left="-46" w:right="-55"/>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xml:space="preserve">Beregnet </w:t>
                  </w:r>
                  <w:r w:rsidR="00B0298D" w:rsidRPr="00B0298D">
                    <w:rPr>
                      <w:rFonts w:ascii="Calibri" w:hAnsi="Calibri" w:cs="Arial"/>
                      <w:i/>
                      <w:color w:val="000000"/>
                      <w:sz w:val="11"/>
                      <w:szCs w:val="11"/>
                      <w:lang w:eastAsia="da-DK"/>
                    </w:rPr>
                    <w:t>ændring</w:t>
                  </w:r>
                  <w:r w:rsidRPr="00B0298D">
                    <w:rPr>
                      <w:rFonts w:ascii="Calibri" w:hAnsi="Calibri" w:cs="Arial"/>
                      <w:i/>
                      <w:color w:val="000000"/>
                      <w:sz w:val="11"/>
                      <w:szCs w:val="11"/>
                      <w:lang w:eastAsia="da-DK"/>
                    </w:rPr>
                    <w:t xml:space="preserve"> (Mio. kr.)</w:t>
                  </w:r>
                </w:p>
                <w:p w:rsidR="00B0298D" w:rsidRPr="00B0298D" w:rsidRDefault="00B0298D" w:rsidP="00B0298D">
                  <w:pPr>
                    <w:spacing w:after="0" w:line="240" w:lineRule="auto"/>
                    <w:ind w:left="-46" w:right="-55"/>
                    <w:jc w:val="center"/>
                    <w:rPr>
                      <w:rFonts w:ascii="Calibri" w:hAnsi="Calibri" w:cs="Arial"/>
                      <w:i/>
                      <w:color w:val="000000"/>
                      <w:sz w:val="11"/>
                      <w:szCs w:val="11"/>
                      <w:lang w:eastAsia="da-DK"/>
                    </w:rPr>
                  </w:pPr>
                  <w:r w:rsidRPr="00B0298D">
                    <w:rPr>
                      <w:rFonts w:eastAsia="Times New Roman" w:cs="Arial"/>
                      <w:bCs/>
                      <w:sz w:val="11"/>
                      <w:szCs w:val="11"/>
                      <w:lang w:eastAsia="da-DK"/>
                    </w:rPr>
                    <w:t>(+=gevinst)</w:t>
                  </w:r>
                </w:p>
              </w:tc>
              <w:tc>
                <w:tcPr>
                  <w:tcW w:w="835" w:type="dxa"/>
                  <w:tcBorders>
                    <w:top w:val="single" w:sz="4" w:space="0" w:color="auto"/>
                    <w:left w:val="nil"/>
                    <w:bottom w:val="single" w:sz="4" w:space="0" w:color="auto"/>
                    <w:right w:val="nil"/>
                  </w:tcBorders>
                  <w:shd w:val="clear" w:color="000000" w:fill="E9EFEC"/>
                  <w:vAlign w:val="center"/>
                </w:tcPr>
                <w:p w:rsidR="00B0298D" w:rsidRDefault="00FD3510" w:rsidP="00DF03B4">
                  <w:pPr>
                    <w:spacing w:after="0" w:line="240" w:lineRule="auto"/>
                    <w:ind w:left="-85"/>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xml:space="preserve">Beregnet </w:t>
                  </w:r>
                  <w:r w:rsidR="00DF03B4" w:rsidRPr="00B0298D">
                    <w:rPr>
                      <w:rFonts w:ascii="Calibri" w:hAnsi="Calibri" w:cs="Arial"/>
                      <w:i/>
                      <w:color w:val="000000"/>
                      <w:sz w:val="11"/>
                      <w:szCs w:val="11"/>
                      <w:lang w:eastAsia="da-DK"/>
                    </w:rPr>
                    <w:t>ændring i p</w:t>
                  </w:r>
                  <w:r w:rsidRPr="00B0298D">
                    <w:rPr>
                      <w:rFonts w:ascii="Calibri" w:hAnsi="Calibri" w:cs="Arial"/>
                      <w:i/>
                      <w:color w:val="000000"/>
                      <w:sz w:val="11"/>
                      <w:szCs w:val="11"/>
                      <w:lang w:eastAsia="da-DK"/>
                    </w:rPr>
                    <w:t>ct.</w:t>
                  </w:r>
                </w:p>
                <w:p w:rsidR="0017212C" w:rsidRPr="00B0298D" w:rsidRDefault="00FD3510" w:rsidP="00DF03B4">
                  <w:pPr>
                    <w:spacing w:after="0" w:line="240" w:lineRule="auto"/>
                    <w:ind w:left="-85"/>
                    <w:jc w:val="center"/>
                    <w:rPr>
                      <w:rFonts w:ascii="Calibri" w:hAnsi="Calibri" w:cs="Arial"/>
                      <w:i/>
                      <w:color w:val="000000"/>
                      <w:sz w:val="11"/>
                      <w:szCs w:val="11"/>
                      <w:lang w:eastAsia="da-DK"/>
                    </w:rPr>
                  </w:pPr>
                  <w:r w:rsidRPr="00B0298D">
                    <w:rPr>
                      <w:rFonts w:ascii="Calibri" w:hAnsi="Calibri" w:cs="Arial"/>
                      <w:i/>
                      <w:color w:val="000000"/>
                      <w:sz w:val="11"/>
                      <w:szCs w:val="11"/>
                      <w:lang w:eastAsia="da-DK"/>
                    </w:rPr>
                    <w:t xml:space="preserve"> af beskatnings</w:t>
                  </w:r>
                </w:p>
                <w:p w:rsidR="00FD3510" w:rsidRPr="00B0298D" w:rsidRDefault="00B0298D" w:rsidP="00DF03B4">
                  <w:pPr>
                    <w:spacing w:after="0" w:line="240" w:lineRule="auto"/>
                    <w:ind w:left="-85"/>
                    <w:jc w:val="center"/>
                    <w:rPr>
                      <w:rFonts w:ascii="Calibri" w:hAnsi="Calibri" w:cs="Arial"/>
                      <w:i/>
                      <w:color w:val="000000"/>
                      <w:sz w:val="11"/>
                      <w:szCs w:val="11"/>
                      <w:lang w:eastAsia="da-DK"/>
                    </w:rPr>
                  </w:pPr>
                  <w:r>
                    <w:rPr>
                      <w:rFonts w:ascii="Calibri" w:hAnsi="Calibri" w:cs="Arial"/>
                      <w:i/>
                      <w:color w:val="000000"/>
                      <w:sz w:val="11"/>
                      <w:szCs w:val="11"/>
                      <w:lang w:eastAsia="da-DK"/>
                    </w:rPr>
                    <w:t>n</w:t>
                  </w:r>
                  <w:r w:rsidR="00FD3510" w:rsidRPr="00B0298D">
                    <w:rPr>
                      <w:rFonts w:ascii="Calibri" w:hAnsi="Calibri" w:cs="Arial"/>
                      <w:i/>
                      <w:color w:val="000000"/>
                      <w:sz w:val="11"/>
                      <w:szCs w:val="11"/>
                      <w:lang w:eastAsia="da-DK"/>
                    </w:rPr>
                    <w:t>ivea</w:t>
                  </w:r>
                  <w:r w:rsidR="0017212C" w:rsidRPr="00B0298D">
                    <w:rPr>
                      <w:rFonts w:ascii="Calibri" w:hAnsi="Calibri" w:cs="Arial"/>
                      <w:i/>
                      <w:color w:val="000000"/>
                      <w:sz w:val="11"/>
                      <w:szCs w:val="11"/>
                      <w:lang w:eastAsia="da-DK"/>
                    </w:rPr>
                    <w:t>u</w:t>
                  </w:r>
                </w:p>
                <w:p w:rsidR="00B0298D" w:rsidRPr="00B0298D" w:rsidRDefault="00B0298D" w:rsidP="00B0298D">
                  <w:pPr>
                    <w:spacing w:after="0" w:line="240" w:lineRule="auto"/>
                    <w:ind w:left="-85"/>
                    <w:jc w:val="center"/>
                    <w:rPr>
                      <w:rFonts w:ascii="Calibri" w:hAnsi="Calibri" w:cs="Arial"/>
                      <w:i/>
                      <w:color w:val="000000"/>
                      <w:sz w:val="11"/>
                      <w:szCs w:val="11"/>
                      <w:lang w:eastAsia="da-DK"/>
                    </w:rPr>
                  </w:pPr>
                  <w:r w:rsidRPr="00B0298D">
                    <w:rPr>
                      <w:rFonts w:eastAsia="Times New Roman" w:cs="Arial"/>
                      <w:bCs/>
                      <w:sz w:val="11"/>
                      <w:szCs w:val="11"/>
                      <w:lang w:eastAsia="da-DK"/>
                    </w:rPr>
                    <w:t>(</w:t>
                  </w:r>
                  <w:r w:rsidRPr="00B0298D">
                    <w:rPr>
                      <w:rFonts w:eastAsia="Times New Roman" w:cs="Arial"/>
                      <w:bCs/>
                      <w:sz w:val="11"/>
                      <w:szCs w:val="11"/>
                      <w:lang w:eastAsia="da-DK"/>
                    </w:rPr>
                    <w:t>-</w:t>
                  </w:r>
                  <w:r w:rsidRPr="00B0298D">
                    <w:rPr>
                      <w:rFonts w:eastAsia="Times New Roman" w:cs="Arial"/>
                      <w:bCs/>
                      <w:sz w:val="11"/>
                      <w:szCs w:val="11"/>
                      <w:lang w:eastAsia="da-DK"/>
                    </w:rPr>
                    <w:t>=gevinst)</w:t>
                  </w:r>
                </w:p>
              </w:tc>
            </w:tr>
            <w:tr w:rsidR="00FD3510" w:rsidRPr="0072148E" w:rsidTr="00FD3510">
              <w:trPr>
                <w:trHeight w:val="20"/>
              </w:trPr>
              <w:tc>
                <w:tcPr>
                  <w:tcW w:w="709" w:type="dxa"/>
                  <w:tcBorders>
                    <w:top w:val="single" w:sz="4" w:space="0" w:color="auto"/>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Ishøj</w:t>
                  </w:r>
                </w:p>
              </w:tc>
              <w:tc>
                <w:tcPr>
                  <w:tcW w:w="567" w:type="dxa"/>
                  <w:tcBorders>
                    <w:top w:val="single" w:sz="4" w:space="0" w:color="auto"/>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1,5</w:t>
                  </w:r>
                </w:p>
              </w:tc>
              <w:tc>
                <w:tcPr>
                  <w:tcW w:w="567" w:type="dxa"/>
                  <w:tcBorders>
                    <w:top w:val="single" w:sz="4" w:space="0" w:color="auto"/>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single" w:sz="4" w:space="0" w:color="auto"/>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Frederikshavn</w:t>
                  </w:r>
                </w:p>
              </w:tc>
              <w:tc>
                <w:tcPr>
                  <w:tcW w:w="440" w:type="dxa"/>
                  <w:tcBorders>
                    <w:top w:val="single" w:sz="4" w:space="0" w:color="auto"/>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-7,0</w:t>
                  </w:r>
                </w:p>
              </w:tc>
              <w:tc>
                <w:tcPr>
                  <w:tcW w:w="835" w:type="dxa"/>
                  <w:tcBorders>
                    <w:top w:val="single" w:sz="4" w:space="0" w:color="auto"/>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Bornholm</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2,7</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Rebild</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-3,4</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Albertslund</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1,9</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Aalborg</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-24,6</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Brøndby</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2,4</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Jammerbugt</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-4,5</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Halsnæs</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2,1</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Hjørring</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-7,6</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Høje-Taastrup</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3,4</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Thisted</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-5,1</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København</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40,8</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Mariagerfjord</w:t>
                  </w:r>
                </w:p>
              </w:tc>
              <w:tc>
                <w:tcPr>
                  <w:tcW w:w="440"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-4,9</w:t>
                  </w:r>
                </w:p>
              </w:tc>
              <w:tc>
                <w:tcPr>
                  <w:tcW w:w="835"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0,07</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Hvidovre</w:t>
                  </w:r>
                </w:p>
              </w:tc>
              <w:tc>
                <w:tcPr>
                  <w:tcW w:w="567"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3,6</w:t>
                  </w:r>
                </w:p>
              </w:tc>
              <w:tc>
                <w:tcPr>
                  <w:tcW w:w="567" w:type="dxa"/>
                  <w:tcBorders>
                    <w:top w:val="nil"/>
                    <w:left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Morsø</w:t>
                  </w:r>
                </w:p>
              </w:tc>
              <w:tc>
                <w:tcPr>
                  <w:tcW w:w="440"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-2,4</w:t>
                  </w:r>
                </w:p>
              </w:tc>
              <w:tc>
                <w:tcPr>
                  <w:tcW w:w="835"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0,08</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Rødovre</w:t>
                  </w:r>
                </w:p>
              </w:tc>
              <w:tc>
                <w:tcPr>
                  <w:tcW w:w="567"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2,6</w:t>
                  </w:r>
                </w:p>
              </w:tc>
              <w:tc>
                <w:tcPr>
                  <w:tcW w:w="567" w:type="dxa"/>
                  <w:tcBorders>
                    <w:top w:val="nil"/>
                    <w:left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Brønderslev</w:t>
                  </w:r>
                </w:p>
              </w:tc>
              <w:tc>
                <w:tcPr>
                  <w:tcW w:w="440"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-4,2</w:t>
                  </w:r>
                </w:p>
              </w:tc>
              <w:tc>
                <w:tcPr>
                  <w:tcW w:w="835"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0,08</w:t>
                  </w:r>
                </w:p>
              </w:tc>
            </w:tr>
            <w:tr w:rsidR="00FD3510" w:rsidRPr="0072148E" w:rsidTr="00FD3510">
              <w:trPr>
                <w:trHeight w:val="20"/>
              </w:trPr>
              <w:tc>
                <w:tcPr>
                  <w:tcW w:w="709"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Herlev</w:t>
                  </w:r>
                </w:p>
              </w:tc>
              <w:tc>
                <w:tcPr>
                  <w:tcW w:w="567" w:type="dxa"/>
                  <w:tcBorders>
                    <w:top w:val="nil"/>
                    <w:left w:val="nil"/>
                    <w:bottom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2,0</w:t>
                  </w:r>
                </w:p>
              </w:tc>
              <w:tc>
                <w:tcPr>
                  <w:tcW w:w="567" w:type="dxa"/>
                  <w:tcBorders>
                    <w:top w:val="nil"/>
                    <w:left w:val="nil"/>
                    <w:bottom w:val="nil"/>
                    <w:right w:val="dotted" w:sz="4" w:space="0" w:color="auto"/>
                  </w:tcBorders>
                  <w:shd w:val="clear" w:color="000000" w:fill="E9EFEC"/>
                  <w:noWrap/>
                  <w:vAlign w:val="center"/>
                </w:tcPr>
                <w:p w:rsidR="00FD3510" w:rsidRPr="0072148E" w:rsidRDefault="00FD3510" w:rsidP="00FD3510">
                  <w:pPr>
                    <w:spacing w:after="0" w:line="240" w:lineRule="auto"/>
                    <w:jc w:val="center"/>
                    <w:rPr>
                      <w:rFonts w:ascii="Calibri" w:hAnsi="Calibri"/>
                      <w:sz w:val="12"/>
                      <w:szCs w:val="12"/>
                    </w:rPr>
                  </w:pPr>
                  <w:r w:rsidRPr="0072148E">
                    <w:rPr>
                      <w:rFonts w:ascii="Calibri" w:hAnsi="Calibri"/>
                      <w:sz w:val="12"/>
                      <w:szCs w:val="12"/>
                    </w:rPr>
                    <w:t>-0,04</w:t>
                  </w:r>
                </w:p>
              </w:tc>
              <w:tc>
                <w:tcPr>
                  <w:tcW w:w="851" w:type="dxa"/>
                  <w:gridSpan w:val="2"/>
                  <w:tcBorders>
                    <w:top w:val="nil"/>
                    <w:left w:val="nil"/>
                    <w:right w:val="nil"/>
                  </w:tcBorders>
                  <w:shd w:val="clear" w:color="000000" w:fill="E9EFEC"/>
                  <w:noWrap/>
                  <w:vAlign w:val="center"/>
                </w:tcPr>
                <w:p w:rsidR="00FD3510" w:rsidRPr="0072148E" w:rsidRDefault="00FD3510" w:rsidP="00FD3510">
                  <w:pPr>
                    <w:spacing w:after="0" w:line="240" w:lineRule="auto"/>
                    <w:rPr>
                      <w:rFonts w:ascii="Calibri" w:hAnsi="Calibri"/>
                      <w:color w:val="000000"/>
                      <w:sz w:val="12"/>
                      <w:szCs w:val="12"/>
                    </w:rPr>
                  </w:pPr>
                  <w:r w:rsidRPr="0072148E">
                    <w:rPr>
                      <w:rFonts w:ascii="Calibri" w:hAnsi="Calibri"/>
                      <w:color w:val="000000"/>
                      <w:sz w:val="12"/>
                      <w:szCs w:val="12"/>
                    </w:rPr>
                    <w:t>Vesthimmerlands</w:t>
                  </w:r>
                </w:p>
              </w:tc>
              <w:tc>
                <w:tcPr>
                  <w:tcW w:w="440"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-4,4</w:t>
                  </w:r>
                </w:p>
              </w:tc>
              <w:tc>
                <w:tcPr>
                  <w:tcW w:w="835" w:type="dxa"/>
                  <w:tcBorders>
                    <w:top w:val="nil"/>
                    <w:left w:val="nil"/>
                    <w:right w:val="nil"/>
                  </w:tcBorders>
                  <w:shd w:val="clear" w:color="000000" w:fill="E9EFEC"/>
                  <w:noWrap/>
                  <w:vAlign w:val="center"/>
                </w:tcPr>
                <w:p w:rsidR="00FD3510" w:rsidRPr="0072148E" w:rsidRDefault="00FD3510" w:rsidP="00FD3510">
                  <w:pPr>
                    <w:spacing w:after="0" w:line="240" w:lineRule="auto"/>
                    <w:jc w:val="center"/>
                    <w:rPr>
                      <w:rFonts w:ascii="Calibri" w:hAnsi="Calibri"/>
                      <w:color w:val="000000"/>
                      <w:sz w:val="12"/>
                      <w:szCs w:val="12"/>
                    </w:rPr>
                  </w:pPr>
                  <w:r w:rsidRPr="0072148E">
                    <w:rPr>
                      <w:rFonts w:ascii="Calibri" w:hAnsi="Calibri"/>
                      <w:color w:val="000000"/>
                      <w:sz w:val="12"/>
                      <w:szCs w:val="12"/>
                    </w:rPr>
                    <w:t>0,08</w:t>
                  </w:r>
                </w:p>
              </w:tc>
            </w:tr>
          </w:tbl>
          <w:p w:rsidR="00FD3510" w:rsidRPr="000C2714" w:rsidRDefault="00FD3510" w:rsidP="00FD3510">
            <w:pPr>
              <w:spacing w:after="0" w:line="240" w:lineRule="auto"/>
              <w:rPr>
                <w:rFonts w:ascii="Calibri" w:hAnsi="Calibri"/>
                <w:sz w:val="12"/>
              </w:rPr>
            </w:pPr>
          </w:p>
        </w:tc>
      </w:tr>
      <w:tr w:rsidR="00FD3510" w:rsidTr="00BA3DFA">
        <w:trPr>
          <w:trHeight w:val="86"/>
        </w:trPr>
        <w:tc>
          <w:tcPr>
            <w:tcW w:w="3828" w:type="dxa"/>
            <w:tcBorders>
              <w:bottom w:val="single" w:sz="12" w:space="0" w:color="auto"/>
            </w:tcBorders>
            <w:shd w:val="clear" w:color="auto" w:fill="E9EFEC"/>
          </w:tcPr>
          <w:p w:rsidR="00FD3510" w:rsidRPr="009A33B9" w:rsidRDefault="00FD3510" w:rsidP="00FD3510">
            <w:pPr>
              <w:spacing w:line="240" w:lineRule="auto"/>
              <w:jc w:val="both"/>
              <w:rPr>
                <w:rFonts w:ascii="Calibri" w:hAnsi="Calibri"/>
                <w:sz w:val="12"/>
              </w:rPr>
            </w:pPr>
            <w:r w:rsidRPr="009A33B9">
              <w:rPr>
                <w:rFonts w:ascii="Calibri" w:hAnsi="Calibri"/>
                <w:sz w:val="12"/>
              </w:rPr>
              <w:t>Kilde: Sundhed- og Ældreministeriet</w:t>
            </w:r>
          </w:p>
        </w:tc>
        <w:tc>
          <w:tcPr>
            <w:tcW w:w="3827" w:type="dxa"/>
            <w:tcBorders>
              <w:bottom w:val="single" w:sz="12" w:space="0" w:color="auto"/>
            </w:tcBorders>
            <w:shd w:val="clear" w:color="auto" w:fill="E9EFEC"/>
          </w:tcPr>
          <w:p w:rsidR="00FD3510" w:rsidRPr="0005795D" w:rsidRDefault="00FD3510" w:rsidP="00FD3510">
            <w:pPr>
              <w:spacing w:line="240" w:lineRule="auto"/>
              <w:rPr>
                <w:rFonts w:ascii="Calibri" w:hAnsi="Calibri"/>
                <w:color w:val="000000"/>
                <w:sz w:val="12"/>
                <w:szCs w:val="12"/>
                <w:lang w:eastAsia="da-DK"/>
              </w:rPr>
            </w:pPr>
            <w:r>
              <w:rPr>
                <w:rFonts w:ascii="Calibri" w:hAnsi="Calibri"/>
                <w:sz w:val="12"/>
              </w:rPr>
              <w:t>K</w:t>
            </w:r>
            <w:r w:rsidRPr="000C2714">
              <w:rPr>
                <w:rFonts w:ascii="Calibri" w:hAnsi="Calibri"/>
                <w:sz w:val="12"/>
              </w:rPr>
              <w:t>ilde:</w:t>
            </w:r>
            <w:r>
              <w:rPr>
                <w:rFonts w:ascii="Calibri" w:hAnsi="Calibri"/>
                <w:sz w:val="12"/>
              </w:rPr>
              <w:t xml:space="preserve"> Sundhed- og Ældreministeriet</w:t>
            </w:r>
          </w:p>
        </w:tc>
      </w:tr>
    </w:tbl>
    <w:p w:rsidR="00195791" w:rsidRPr="005A766D" w:rsidRDefault="00195791" w:rsidP="00013753">
      <w:pPr>
        <w:spacing w:line="240" w:lineRule="auto"/>
        <w:jc w:val="both"/>
        <w:rPr>
          <w:highlight w:val="yellow"/>
        </w:rPr>
      </w:pPr>
    </w:p>
    <w:p w:rsidR="00195791" w:rsidRPr="005A766D" w:rsidRDefault="00195791" w:rsidP="00013753">
      <w:pPr>
        <w:spacing w:line="240" w:lineRule="auto"/>
        <w:jc w:val="both"/>
        <w:rPr>
          <w:highlight w:val="yellow"/>
        </w:rPr>
      </w:pPr>
    </w:p>
    <w:p w:rsidR="003B5520" w:rsidRDefault="003B5520">
      <w:pPr>
        <w:rPr>
          <w:rFonts w:ascii="Garamond" w:hAnsi="Garamond"/>
          <w:sz w:val="24"/>
          <w:szCs w:val="24"/>
        </w:rPr>
      </w:pPr>
      <w:r>
        <w:rPr>
          <w:rFonts w:ascii="Garamond" w:hAnsi="Garamond"/>
          <w:sz w:val="24"/>
          <w:szCs w:val="24"/>
        </w:rPr>
        <w:br w:type="page"/>
      </w:r>
    </w:p>
    <w:p w:rsidR="003B5520" w:rsidRPr="003B5520" w:rsidRDefault="00BA3DFA" w:rsidP="003B5520">
      <w:pPr>
        <w:pStyle w:val="Overskrift1"/>
        <w:pBdr>
          <w:bottom w:val="single" w:sz="4" w:space="1" w:color="4F81BD" w:themeColor="accent1"/>
        </w:pBdr>
        <w:jc w:val="both"/>
        <w:rPr>
          <w:b w:val="0"/>
          <w:color w:val="17365D" w:themeColor="text2" w:themeShade="BF"/>
          <w:sz w:val="36"/>
          <w:szCs w:val="36"/>
        </w:rPr>
      </w:pPr>
      <w:bookmarkStart w:id="14" w:name="_Toc451358729"/>
      <w:r>
        <w:rPr>
          <w:b w:val="0"/>
          <w:color w:val="17365D" w:themeColor="text2" w:themeShade="BF"/>
          <w:sz w:val="36"/>
          <w:szCs w:val="36"/>
        </w:rPr>
        <w:t>7</w:t>
      </w:r>
      <w:r w:rsidR="003B5520">
        <w:rPr>
          <w:b w:val="0"/>
          <w:color w:val="17365D" w:themeColor="text2" w:themeShade="BF"/>
          <w:sz w:val="36"/>
          <w:szCs w:val="36"/>
        </w:rPr>
        <w:t xml:space="preserve">. </w:t>
      </w:r>
      <w:r w:rsidR="003B5520" w:rsidRPr="003B5520">
        <w:rPr>
          <w:b w:val="0"/>
          <w:color w:val="17365D" w:themeColor="text2" w:themeShade="BF"/>
          <w:sz w:val="36"/>
          <w:szCs w:val="36"/>
        </w:rPr>
        <w:t>Øget behov for centrale data</w:t>
      </w:r>
      <w:bookmarkEnd w:id="14"/>
    </w:p>
    <w:p w:rsidR="003B5520" w:rsidRDefault="003B5520">
      <w:pPr>
        <w:rPr>
          <w:rFonts w:ascii="Garamond" w:hAnsi="Garamond"/>
          <w:sz w:val="24"/>
          <w:szCs w:val="24"/>
        </w:rPr>
      </w:pPr>
    </w:p>
    <w:p w:rsidR="00B72A66" w:rsidRPr="00E264BB" w:rsidRDefault="00B72A66" w:rsidP="00B72A66">
      <w:pPr>
        <w:jc w:val="both"/>
        <w:rPr>
          <w:rFonts w:ascii="Garamond" w:hAnsi="Garamond"/>
          <w:sz w:val="24"/>
          <w:szCs w:val="24"/>
        </w:rPr>
      </w:pPr>
      <w:r w:rsidRPr="00B72A66">
        <w:rPr>
          <w:rFonts w:ascii="Garamond" w:hAnsi="Garamond"/>
          <w:sz w:val="24"/>
          <w:szCs w:val="24"/>
        </w:rPr>
        <w:t xml:space="preserve">Med evaluering af den kommunale medfinansiering </w:t>
      </w:r>
      <w:r w:rsidR="001E2E6A">
        <w:rPr>
          <w:rFonts w:ascii="Garamond" w:hAnsi="Garamond"/>
          <w:sz w:val="24"/>
          <w:szCs w:val="24"/>
        </w:rPr>
        <w:t>konstateres</w:t>
      </w:r>
      <w:r w:rsidRPr="00B72A66">
        <w:rPr>
          <w:rFonts w:ascii="Garamond" w:hAnsi="Garamond"/>
          <w:sz w:val="24"/>
          <w:szCs w:val="24"/>
        </w:rPr>
        <w:t xml:space="preserve"> det, at kommunerne generelt oplever alt for ringe mulighed for at gennemskue, hvad der betales for via KMF-afregningen, og der efterspørges langt større gennemsigtighed og enkeltheden i afregningen af den kommunale </w:t>
      </w:r>
      <w:r w:rsidRPr="00E264BB">
        <w:rPr>
          <w:rFonts w:ascii="Garamond" w:hAnsi="Garamond"/>
          <w:sz w:val="24"/>
          <w:szCs w:val="24"/>
        </w:rPr>
        <w:t xml:space="preserve">medfinansiering. </w:t>
      </w:r>
    </w:p>
    <w:p w:rsidR="00F17DB0" w:rsidRDefault="004346C2" w:rsidP="00E264BB">
      <w:pPr>
        <w:jc w:val="both"/>
        <w:rPr>
          <w:rFonts w:ascii="Garamond" w:hAnsi="Garamond"/>
          <w:sz w:val="24"/>
          <w:szCs w:val="24"/>
        </w:rPr>
      </w:pPr>
      <w:r w:rsidRPr="00F21D96">
        <w:rPr>
          <w:rFonts w:ascii="Garamond" w:hAnsi="Garamond"/>
          <w:sz w:val="24"/>
          <w:szCs w:val="24"/>
        </w:rPr>
        <w:t xml:space="preserve">Et </w:t>
      </w:r>
      <w:r w:rsidR="00F17DB0" w:rsidRPr="00F21D96">
        <w:rPr>
          <w:rFonts w:ascii="Garamond" w:hAnsi="Garamond"/>
          <w:sz w:val="24"/>
          <w:szCs w:val="24"/>
        </w:rPr>
        <w:t>muligt</w:t>
      </w:r>
      <w:r w:rsidRPr="00F21D96">
        <w:rPr>
          <w:rFonts w:ascii="Garamond" w:hAnsi="Garamond"/>
          <w:sz w:val="24"/>
          <w:szCs w:val="24"/>
        </w:rPr>
        <w:t xml:space="preserve"> tiltag for at imødekomme kommunernes behov</w:t>
      </w:r>
      <w:r w:rsidR="00F17DB0" w:rsidRPr="00F21D96">
        <w:rPr>
          <w:rFonts w:ascii="Garamond" w:hAnsi="Garamond"/>
          <w:sz w:val="24"/>
          <w:szCs w:val="24"/>
        </w:rPr>
        <w:t xml:space="preserve"> er fx indførelsen af pre-definerede standardrapporter eller faktura</w:t>
      </w:r>
      <w:r w:rsidR="00F17DB0">
        <w:rPr>
          <w:rFonts w:ascii="Garamond" w:hAnsi="Garamond"/>
          <w:sz w:val="24"/>
          <w:szCs w:val="24"/>
        </w:rPr>
        <w:t>er</w:t>
      </w:r>
      <w:r w:rsidR="00F17DB0" w:rsidRPr="00F21D96">
        <w:rPr>
          <w:rFonts w:ascii="Garamond" w:hAnsi="Garamond"/>
          <w:sz w:val="24"/>
          <w:szCs w:val="24"/>
        </w:rPr>
        <w:t xml:space="preserve"> i KØS. Med rapporterne kan kommunerne </w:t>
      </w:r>
      <w:r w:rsidRPr="00F21D96">
        <w:rPr>
          <w:rFonts w:ascii="Garamond" w:hAnsi="Garamond"/>
          <w:sz w:val="24"/>
          <w:szCs w:val="24"/>
        </w:rPr>
        <w:t xml:space="preserve">løbende </w:t>
      </w:r>
      <w:r w:rsidR="00F17DB0" w:rsidRPr="00F21D96">
        <w:rPr>
          <w:rFonts w:ascii="Garamond" w:hAnsi="Garamond"/>
          <w:sz w:val="24"/>
          <w:szCs w:val="24"/>
        </w:rPr>
        <w:t xml:space="preserve">danne sig et </w:t>
      </w:r>
      <w:r w:rsidRPr="00F21D96">
        <w:rPr>
          <w:rFonts w:ascii="Garamond" w:hAnsi="Garamond"/>
          <w:sz w:val="24"/>
          <w:szCs w:val="24"/>
        </w:rPr>
        <w:t xml:space="preserve">overblik </w:t>
      </w:r>
      <w:r w:rsidR="00F17DB0" w:rsidRPr="00F21D96">
        <w:rPr>
          <w:rFonts w:ascii="Garamond" w:hAnsi="Garamond"/>
          <w:sz w:val="24"/>
          <w:szCs w:val="24"/>
        </w:rPr>
        <w:t>over</w:t>
      </w:r>
      <w:r w:rsidRPr="00F21D96">
        <w:rPr>
          <w:rFonts w:ascii="Garamond" w:hAnsi="Garamond"/>
          <w:sz w:val="24"/>
          <w:szCs w:val="24"/>
        </w:rPr>
        <w:t xml:space="preserve"> udvikling og afvigelser på forskellige niveauer</w:t>
      </w:r>
      <w:r w:rsidR="00F17DB0" w:rsidRPr="00F21D96">
        <w:rPr>
          <w:rFonts w:ascii="Garamond" w:hAnsi="Garamond"/>
          <w:sz w:val="24"/>
          <w:szCs w:val="24"/>
        </w:rPr>
        <w:t>,</w:t>
      </w:r>
      <w:r w:rsidRPr="00F21D96">
        <w:rPr>
          <w:rFonts w:ascii="Garamond" w:hAnsi="Garamond"/>
          <w:sz w:val="24"/>
          <w:szCs w:val="24"/>
        </w:rPr>
        <w:t xml:space="preserve"> og i forhold til forskellige afgræsninger. </w:t>
      </w:r>
    </w:p>
    <w:p w:rsidR="00B72A66" w:rsidRPr="00B72A66" w:rsidRDefault="004346C2" w:rsidP="00E264BB">
      <w:pPr>
        <w:jc w:val="both"/>
        <w:rPr>
          <w:rFonts w:ascii="Garamond" w:hAnsi="Garamond"/>
          <w:sz w:val="24"/>
          <w:szCs w:val="24"/>
        </w:rPr>
      </w:pPr>
      <w:r w:rsidRPr="00F21D96">
        <w:rPr>
          <w:rFonts w:ascii="Garamond" w:hAnsi="Garamond"/>
          <w:sz w:val="24"/>
          <w:szCs w:val="24"/>
        </w:rPr>
        <w:t>Standardrapporterne skal kunne anvendes både i forhold til forudsat og faktisk niveau, samt med mulighed for at foretage lokale tilpasninger.</w:t>
      </w:r>
      <w:r w:rsidR="00F17DB0" w:rsidRPr="00E264BB">
        <w:rPr>
          <w:rFonts w:ascii="Garamond" w:hAnsi="Garamond"/>
          <w:sz w:val="24"/>
          <w:szCs w:val="24"/>
        </w:rPr>
        <w:t xml:space="preserve"> Et hensyn </w:t>
      </w:r>
      <w:r w:rsidR="00F17DB0">
        <w:rPr>
          <w:rFonts w:ascii="Garamond" w:hAnsi="Garamond"/>
          <w:sz w:val="24"/>
          <w:szCs w:val="24"/>
        </w:rPr>
        <w:t xml:space="preserve">med disse rapporter/fakturaer </w:t>
      </w:r>
      <w:r w:rsidR="00F17DB0" w:rsidRPr="00E264BB">
        <w:rPr>
          <w:rFonts w:ascii="Garamond" w:hAnsi="Garamond"/>
          <w:sz w:val="24"/>
          <w:szCs w:val="24"/>
        </w:rPr>
        <w:t>er</w:t>
      </w:r>
      <w:r w:rsidR="00F17DB0">
        <w:rPr>
          <w:rFonts w:ascii="Garamond" w:hAnsi="Garamond"/>
          <w:sz w:val="24"/>
          <w:szCs w:val="24"/>
        </w:rPr>
        <w:t xml:space="preserve"> dog</w:t>
      </w:r>
      <w:r w:rsidR="00F17DB0" w:rsidRPr="00E264BB">
        <w:rPr>
          <w:rFonts w:ascii="Garamond" w:hAnsi="Garamond"/>
          <w:sz w:val="24"/>
          <w:szCs w:val="24"/>
        </w:rPr>
        <w:t xml:space="preserve"> alt andet lige </w:t>
      </w:r>
      <w:r w:rsidR="00F17DB0" w:rsidRPr="00F21D96">
        <w:rPr>
          <w:rFonts w:ascii="Garamond" w:hAnsi="Garamond"/>
          <w:sz w:val="24"/>
          <w:szCs w:val="24"/>
        </w:rPr>
        <w:t xml:space="preserve">at </w:t>
      </w:r>
      <w:r w:rsidR="00F17DB0">
        <w:rPr>
          <w:rFonts w:ascii="Garamond" w:hAnsi="Garamond"/>
          <w:sz w:val="24"/>
          <w:szCs w:val="24"/>
        </w:rPr>
        <w:t>de</w:t>
      </w:r>
      <w:r w:rsidR="00F17DB0" w:rsidRPr="00E264BB">
        <w:rPr>
          <w:rFonts w:ascii="Garamond" w:hAnsi="Garamond"/>
          <w:sz w:val="24"/>
          <w:szCs w:val="24"/>
        </w:rPr>
        <w:t xml:space="preserve"> ikke</w:t>
      </w:r>
      <w:r w:rsidR="00B72A66" w:rsidRPr="00E264BB">
        <w:rPr>
          <w:rFonts w:ascii="Garamond" w:hAnsi="Garamond"/>
          <w:sz w:val="24"/>
          <w:szCs w:val="24"/>
        </w:rPr>
        <w:t xml:space="preserve"> bliver et enkeltbilagskontrol fra kommunal </w:t>
      </w:r>
      <w:r w:rsidR="00B72A66" w:rsidRPr="00B72A66">
        <w:rPr>
          <w:rFonts w:ascii="Garamond" w:hAnsi="Garamond"/>
          <w:sz w:val="24"/>
          <w:szCs w:val="24"/>
        </w:rPr>
        <w:t xml:space="preserve">side. </w:t>
      </w:r>
    </w:p>
    <w:p w:rsidR="004346C2" w:rsidRDefault="004346C2" w:rsidP="004346C2">
      <w:pPr>
        <w:rPr>
          <w:rFonts w:ascii="Calibri" w:hAnsi="Calibri"/>
        </w:rPr>
      </w:pPr>
    </w:p>
    <w:p w:rsidR="00B72A66" w:rsidRDefault="00B72A66" w:rsidP="00B72A66"/>
    <w:p w:rsidR="005A766D" w:rsidRDefault="005A766D">
      <w:pPr>
        <w:rPr>
          <w:rFonts w:asciiTheme="majorHAnsi" w:eastAsiaTheme="majorEastAsia" w:hAnsiTheme="majorHAnsi" w:cstheme="majorBidi"/>
          <w:bCs/>
          <w:color w:val="17365D" w:themeColor="text2" w:themeShade="BF"/>
          <w:sz w:val="36"/>
          <w:szCs w:val="36"/>
        </w:rPr>
      </w:pPr>
      <w:r>
        <w:rPr>
          <w:b/>
          <w:color w:val="17365D" w:themeColor="text2" w:themeShade="BF"/>
          <w:sz w:val="36"/>
          <w:szCs w:val="36"/>
        </w:rPr>
        <w:br w:type="page"/>
      </w:r>
    </w:p>
    <w:p w:rsidR="003B5520" w:rsidRPr="003B5520" w:rsidRDefault="00725798" w:rsidP="003B5520">
      <w:pPr>
        <w:pStyle w:val="Overskrift1"/>
        <w:pBdr>
          <w:bottom w:val="single" w:sz="4" w:space="1" w:color="4F81BD" w:themeColor="accent1"/>
        </w:pBdr>
        <w:jc w:val="both"/>
        <w:rPr>
          <w:b w:val="0"/>
          <w:color w:val="17365D" w:themeColor="text2" w:themeShade="BF"/>
          <w:sz w:val="36"/>
          <w:szCs w:val="36"/>
        </w:rPr>
      </w:pPr>
      <w:bookmarkStart w:id="15" w:name="_Toc451358730"/>
      <w:r>
        <w:rPr>
          <w:b w:val="0"/>
          <w:color w:val="17365D" w:themeColor="text2" w:themeShade="BF"/>
          <w:sz w:val="36"/>
          <w:szCs w:val="36"/>
        </w:rPr>
        <w:t>8</w:t>
      </w:r>
      <w:r w:rsidR="003B5520">
        <w:rPr>
          <w:b w:val="0"/>
          <w:color w:val="17365D" w:themeColor="text2" w:themeShade="BF"/>
          <w:sz w:val="36"/>
          <w:szCs w:val="36"/>
        </w:rPr>
        <w:t>. Implementering af ændringer</w:t>
      </w:r>
      <w:bookmarkEnd w:id="15"/>
    </w:p>
    <w:p w:rsidR="00B955F1" w:rsidRDefault="00B955F1" w:rsidP="00013753">
      <w:pPr>
        <w:jc w:val="both"/>
        <w:rPr>
          <w:rFonts w:ascii="Garamond" w:hAnsi="Garamond"/>
          <w:sz w:val="24"/>
          <w:szCs w:val="24"/>
        </w:rPr>
      </w:pPr>
    </w:p>
    <w:p w:rsidR="00F17DB0" w:rsidRDefault="00B72A66" w:rsidP="00B72A66">
      <w:pPr>
        <w:jc w:val="both"/>
        <w:rPr>
          <w:rFonts w:ascii="Garamond" w:hAnsi="Garamond"/>
          <w:sz w:val="24"/>
          <w:szCs w:val="24"/>
        </w:rPr>
      </w:pPr>
      <w:r w:rsidRPr="00B72A66">
        <w:rPr>
          <w:rFonts w:ascii="Garamond" w:hAnsi="Garamond"/>
          <w:sz w:val="24"/>
          <w:szCs w:val="24"/>
        </w:rPr>
        <w:t xml:space="preserve">Lovgivning fremsættes i efteråret 2016 mhp. </w:t>
      </w:r>
      <w:r w:rsidR="00587157">
        <w:rPr>
          <w:rFonts w:ascii="Garamond" w:hAnsi="Garamond"/>
          <w:sz w:val="24"/>
          <w:szCs w:val="24"/>
        </w:rPr>
        <w:t xml:space="preserve">at </w:t>
      </w:r>
      <w:r w:rsidRPr="00B72A66">
        <w:rPr>
          <w:rFonts w:ascii="Garamond" w:hAnsi="Garamond"/>
          <w:sz w:val="24"/>
          <w:szCs w:val="24"/>
        </w:rPr>
        <w:t xml:space="preserve">ændringerne har virkning for 2017.  </w:t>
      </w:r>
    </w:p>
    <w:p w:rsidR="00B72A66" w:rsidRPr="00F21D96" w:rsidRDefault="00B72A66" w:rsidP="00B72A66">
      <w:pPr>
        <w:jc w:val="both"/>
        <w:rPr>
          <w:rFonts w:ascii="Garamond" w:hAnsi="Garamond"/>
          <w:sz w:val="24"/>
          <w:szCs w:val="24"/>
        </w:rPr>
      </w:pPr>
      <w:r w:rsidRPr="00B72A66">
        <w:rPr>
          <w:rFonts w:ascii="Garamond" w:hAnsi="Garamond"/>
          <w:sz w:val="24"/>
          <w:szCs w:val="24"/>
        </w:rPr>
        <w:t xml:space="preserve">Ikrafttræden fra 2017 vil formentlig indebære behov for, at fordelingen af de </w:t>
      </w:r>
      <w:r w:rsidRPr="00E264BB">
        <w:rPr>
          <w:rFonts w:ascii="Garamond" w:hAnsi="Garamond"/>
          <w:sz w:val="24"/>
          <w:szCs w:val="24"/>
        </w:rPr>
        <w:t>statslige tilskud for 2017 (som udmeldes til kommunerne pr. 1. juli 2016) efterfølgende reguleres</w:t>
      </w:r>
      <w:r w:rsidRPr="00F21D96">
        <w:rPr>
          <w:rFonts w:ascii="Garamond" w:hAnsi="Garamond"/>
          <w:sz w:val="24"/>
          <w:szCs w:val="24"/>
        </w:rPr>
        <w:t xml:space="preserve">. </w:t>
      </w:r>
    </w:p>
    <w:p w:rsidR="00351954" w:rsidRPr="00E264BB" w:rsidRDefault="00351954" w:rsidP="00B72A66">
      <w:pPr>
        <w:jc w:val="both"/>
        <w:rPr>
          <w:rFonts w:ascii="Garamond" w:hAnsi="Garamond"/>
          <w:sz w:val="24"/>
          <w:szCs w:val="24"/>
        </w:rPr>
      </w:pPr>
      <w:r w:rsidRPr="00F21D96">
        <w:rPr>
          <w:rFonts w:ascii="Garamond" w:hAnsi="Garamond"/>
          <w:sz w:val="24"/>
          <w:szCs w:val="24"/>
        </w:rPr>
        <w:t xml:space="preserve">Konsekvenserne af differentieret medfinansiering indgår i udligningen med en tidsmæssig forsinkelse. Udgiftsbehovet i udligning vil først afspejle differentieringen, når kommunernes udgifter til en differentieret medfinansiering indgår i opgørelse af kommunernes udgiftsbehov. Dette indebærer, at de byrdefordelingsmæssige konsekvenser i år 1 skal håndteres særskilt, så der opnås en tidsmæssig overensstemmelse mellem implementering af en differentieret model og udligningen. </w:t>
      </w:r>
    </w:p>
    <w:p w:rsidR="0019777B" w:rsidRDefault="0019777B">
      <w:pPr>
        <w:rPr>
          <w:rFonts w:ascii="Garamond" w:hAnsi="Garamond"/>
          <w:sz w:val="24"/>
          <w:szCs w:val="24"/>
        </w:rPr>
      </w:pPr>
      <w:r>
        <w:rPr>
          <w:rFonts w:ascii="Garamond" w:hAnsi="Garamond"/>
          <w:sz w:val="24"/>
          <w:szCs w:val="24"/>
        </w:rPr>
        <w:br w:type="page"/>
      </w:r>
    </w:p>
    <w:p w:rsidR="0019777B" w:rsidRPr="003B5520" w:rsidRDefault="0019777B" w:rsidP="0019777B">
      <w:pPr>
        <w:pStyle w:val="Overskrift1"/>
        <w:pBdr>
          <w:bottom w:val="single" w:sz="4" w:space="1" w:color="4F81BD" w:themeColor="accent1"/>
        </w:pBdr>
        <w:jc w:val="both"/>
        <w:rPr>
          <w:b w:val="0"/>
          <w:color w:val="17365D" w:themeColor="text2" w:themeShade="BF"/>
          <w:sz w:val="36"/>
          <w:szCs w:val="36"/>
        </w:rPr>
      </w:pPr>
      <w:bookmarkStart w:id="16" w:name="_Toc451358731"/>
      <w:r>
        <w:rPr>
          <w:b w:val="0"/>
          <w:color w:val="17365D" w:themeColor="text2" w:themeShade="BF"/>
          <w:sz w:val="36"/>
          <w:szCs w:val="36"/>
        </w:rPr>
        <w:t>Bilag</w:t>
      </w:r>
      <w:bookmarkEnd w:id="16"/>
    </w:p>
    <w:p w:rsidR="00B062B8" w:rsidRDefault="00B062B8" w:rsidP="00013753">
      <w:pPr>
        <w:jc w:val="both"/>
        <w:rPr>
          <w:rFonts w:ascii="Garamond" w:hAnsi="Garamond"/>
          <w:b/>
          <w:sz w:val="24"/>
          <w:szCs w:val="24"/>
        </w:rPr>
      </w:pPr>
    </w:p>
    <w:p w:rsidR="00C73E1B" w:rsidRPr="00F21D96" w:rsidRDefault="00B062B8" w:rsidP="00F21D96">
      <w:pPr>
        <w:pStyle w:val="Overskrift1"/>
        <w:jc w:val="both"/>
        <w:rPr>
          <w:color w:val="17365D" w:themeColor="text2" w:themeShade="BF"/>
        </w:rPr>
      </w:pPr>
      <w:bookmarkStart w:id="17" w:name="_Toc451358732"/>
      <w:r>
        <w:rPr>
          <w:b w:val="0"/>
          <w:color w:val="17365D" w:themeColor="text2" w:themeShade="BF"/>
        </w:rPr>
        <w:t xml:space="preserve">B.1 </w:t>
      </w:r>
      <w:r w:rsidR="0019777B" w:rsidRPr="00F21D96">
        <w:rPr>
          <w:b w:val="0"/>
          <w:color w:val="17365D" w:themeColor="text2" w:themeShade="BF"/>
        </w:rPr>
        <w:t>ØA</w:t>
      </w:r>
      <w:r w:rsidRPr="00F21D96">
        <w:rPr>
          <w:b w:val="0"/>
          <w:color w:val="17365D" w:themeColor="text2" w:themeShade="BF"/>
        </w:rPr>
        <w:t>16</w:t>
      </w:r>
      <w:bookmarkEnd w:id="17"/>
    </w:p>
    <w:p w:rsidR="00B062B8" w:rsidRDefault="00B062B8" w:rsidP="00B062B8">
      <w:pPr>
        <w:jc w:val="both"/>
        <w:rPr>
          <w:rFonts w:ascii="Garamond" w:hAnsi="Garamond"/>
          <w:b/>
          <w:sz w:val="24"/>
          <w:szCs w:val="24"/>
        </w:rPr>
      </w:pPr>
    </w:p>
    <w:p w:rsidR="00B062B8" w:rsidRPr="00B062B8" w:rsidRDefault="00B062B8" w:rsidP="00B062B8">
      <w:pPr>
        <w:jc w:val="both"/>
        <w:rPr>
          <w:rFonts w:ascii="Garamond" w:hAnsi="Garamond"/>
          <w:b/>
          <w:sz w:val="24"/>
          <w:szCs w:val="24"/>
        </w:rPr>
      </w:pPr>
      <w:r w:rsidRPr="00B062B8">
        <w:rPr>
          <w:rFonts w:ascii="Garamond" w:hAnsi="Garamond"/>
          <w:b/>
          <w:sz w:val="24"/>
          <w:szCs w:val="24"/>
        </w:rPr>
        <w:t xml:space="preserve">Opfølgning på forhandlingsresultat fra juli 2015: </w:t>
      </w:r>
    </w:p>
    <w:p w:rsidR="00B062B8" w:rsidRPr="00B062B8" w:rsidRDefault="00B062B8" w:rsidP="00B062B8">
      <w:pPr>
        <w:spacing w:after="0"/>
        <w:jc w:val="both"/>
        <w:rPr>
          <w:rFonts w:ascii="Garamond" w:hAnsi="Garamond"/>
          <w:sz w:val="24"/>
          <w:szCs w:val="24"/>
        </w:rPr>
      </w:pPr>
      <w:r>
        <w:rPr>
          <w:rFonts w:ascii="Garamond" w:hAnsi="Garamond"/>
          <w:sz w:val="24"/>
          <w:szCs w:val="24"/>
        </w:rPr>
        <w:t>”</w:t>
      </w:r>
      <w:r w:rsidRPr="00B062B8">
        <w:rPr>
          <w:rFonts w:ascii="Garamond" w:hAnsi="Garamond"/>
          <w:i/>
          <w:sz w:val="24"/>
          <w:szCs w:val="24"/>
        </w:rPr>
        <w:t>Kommunal medfinansiering på sundhedsområdet</w:t>
      </w:r>
      <w:r w:rsidRPr="00B062B8">
        <w:rPr>
          <w:rFonts w:ascii="Garamond" w:hAnsi="Garamond"/>
          <w:sz w:val="24"/>
          <w:szCs w:val="24"/>
        </w:rPr>
        <w:t xml:space="preserve"> </w:t>
      </w:r>
    </w:p>
    <w:p w:rsidR="00B062B8" w:rsidRDefault="00B062B8" w:rsidP="00B062B8">
      <w:pPr>
        <w:jc w:val="both"/>
        <w:rPr>
          <w:rFonts w:ascii="Garamond" w:hAnsi="Garamond"/>
          <w:sz w:val="24"/>
          <w:szCs w:val="24"/>
        </w:rPr>
      </w:pPr>
      <w:r w:rsidRPr="00B062B8">
        <w:rPr>
          <w:rFonts w:ascii="Garamond" w:hAnsi="Garamond"/>
          <w:sz w:val="24"/>
          <w:szCs w:val="24"/>
        </w:rPr>
        <w:t>På baggrund af en evaluering af ordningen gennemført i foråret 2015 er reg</w:t>
      </w:r>
      <w:r>
        <w:rPr>
          <w:rFonts w:ascii="Garamond" w:hAnsi="Garamond"/>
          <w:sz w:val="24"/>
          <w:szCs w:val="24"/>
        </w:rPr>
        <w:t>eringen, KL og Danske Regioner enige om, at en ændret medfinansiering skal fjerne mulige incitamentsvirkninger i regionerne, ligesom den kommunale efterreguleringsmekanisme justeres med fokus på større sammenhæng mellem afregning og eventuel tilbagebetaling. Der er samtidig enighed om, at der bør arbejdes med en yderligere kortlægning af fordele og ulemper ved mulige modeller for at differentiere medfinansieringen, så den målrettes de grupper af borgere, hvor kommunerne har størst mulighed for at påvirke indlæggelser. I den forbindelse vurderes mulighederne for øget gennemsigtighed i afregningen mellem de enkelte regioner og kommuner. ”</w:t>
      </w:r>
    </w:p>
    <w:p w:rsidR="00B062B8" w:rsidRDefault="00B062B8" w:rsidP="00B062B8">
      <w:pPr>
        <w:jc w:val="both"/>
        <w:rPr>
          <w:rFonts w:ascii="Garamond" w:hAnsi="Garamond"/>
          <w:sz w:val="24"/>
          <w:szCs w:val="24"/>
        </w:rPr>
      </w:pPr>
    </w:p>
    <w:p w:rsidR="00B062B8" w:rsidRPr="00B062B8" w:rsidRDefault="00B062B8" w:rsidP="00B062B8">
      <w:pPr>
        <w:jc w:val="both"/>
        <w:rPr>
          <w:rFonts w:ascii="Garamond" w:hAnsi="Garamond"/>
          <w:b/>
          <w:sz w:val="24"/>
          <w:szCs w:val="24"/>
        </w:rPr>
      </w:pPr>
      <w:r w:rsidRPr="00B062B8">
        <w:rPr>
          <w:rFonts w:ascii="Garamond" w:hAnsi="Garamond"/>
          <w:b/>
          <w:sz w:val="24"/>
          <w:szCs w:val="24"/>
        </w:rPr>
        <w:t>Aftale om regionernes økonomi for 2016:</w:t>
      </w:r>
    </w:p>
    <w:p w:rsidR="00B062B8" w:rsidRPr="00B062B8" w:rsidRDefault="00B062B8" w:rsidP="00B062B8">
      <w:pPr>
        <w:spacing w:after="0"/>
        <w:jc w:val="both"/>
        <w:rPr>
          <w:rFonts w:ascii="Garamond" w:hAnsi="Garamond"/>
          <w:sz w:val="24"/>
          <w:szCs w:val="24"/>
        </w:rPr>
      </w:pPr>
      <w:r>
        <w:rPr>
          <w:rFonts w:ascii="Garamond" w:hAnsi="Garamond"/>
          <w:sz w:val="24"/>
          <w:szCs w:val="24"/>
        </w:rPr>
        <w:t>”</w:t>
      </w:r>
      <w:r w:rsidRPr="004524AC">
        <w:rPr>
          <w:rFonts w:ascii="Garamond" w:hAnsi="Garamond"/>
          <w:i/>
          <w:sz w:val="24"/>
          <w:szCs w:val="24"/>
        </w:rPr>
        <w:t>Kommunal medfinansiering på sundhedsområdet</w:t>
      </w:r>
      <w:r w:rsidRPr="00B062B8">
        <w:rPr>
          <w:rFonts w:ascii="Garamond" w:hAnsi="Garamond"/>
          <w:sz w:val="24"/>
          <w:szCs w:val="24"/>
        </w:rPr>
        <w:t xml:space="preserve"> </w:t>
      </w:r>
    </w:p>
    <w:p w:rsidR="00C73E1B" w:rsidRDefault="00B062B8" w:rsidP="00B062B8">
      <w:pPr>
        <w:jc w:val="both"/>
        <w:rPr>
          <w:rFonts w:ascii="Garamond" w:hAnsi="Garamond"/>
          <w:sz w:val="24"/>
          <w:szCs w:val="24"/>
        </w:rPr>
      </w:pPr>
      <w:r w:rsidRPr="00B062B8">
        <w:rPr>
          <w:rFonts w:ascii="Garamond" w:hAnsi="Garamond"/>
          <w:sz w:val="24"/>
          <w:szCs w:val="24"/>
        </w:rPr>
        <w:t>På baggrund af en evaluering af ordningen gennemført i foråret 2015 er reg</w:t>
      </w:r>
      <w:r>
        <w:rPr>
          <w:rFonts w:ascii="Garamond" w:hAnsi="Garamond"/>
          <w:sz w:val="24"/>
          <w:szCs w:val="24"/>
        </w:rPr>
        <w:t>eringen og Danske Regioner enige om, at en ændret medfinansiering skal fjerne mulige incitamentsvirkninger i regionerne, der kan påvirke den marginale aktivitet, og samtidig håndtere de byrdefordelingsmæssige konsekvenser. Der er endvidere enighed om, at der bør arbejdes med en yderligere kortlægning af fordele og ulemper ved mulige modeller for at differentiere medfinansieringen målrettet afgrænsede grupper af borgere. ”</w:t>
      </w:r>
    </w:p>
    <w:p w:rsidR="00B062B8" w:rsidRDefault="00B062B8">
      <w:pPr>
        <w:rPr>
          <w:rFonts w:ascii="Garamond" w:hAnsi="Garamond"/>
          <w:sz w:val="24"/>
          <w:szCs w:val="24"/>
        </w:rPr>
      </w:pPr>
      <w:r>
        <w:rPr>
          <w:rFonts w:ascii="Garamond" w:hAnsi="Garamond"/>
          <w:sz w:val="24"/>
          <w:szCs w:val="24"/>
        </w:rPr>
        <w:br w:type="page"/>
      </w:r>
    </w:p>
    <w:p w:rsidR="00B062B8" w:rsidRPr="00F21D96" w:rsidRDefault="00B062B8" w:rsidP="00F21D96">
      <w:pPr>
        <w:pStyle w:val="Overskrift1"/>
        <w:jc w:val="both"/>
        <w:rPr>
          <w:color w:val="17365D" w:themeColor="text2" w:themeShade="BF"/>
        </w:rPr>
      </w:pPr>
      <w:bookmarkStart w:id="18" w:name="_Toc451358733"/>
      <w:r w:rsidRPr="00F21D96">
        <w:rPr>
          <w:b w:val="0"/>
          <w:color w:val="17365D" w:themeColor="text2" w:themeShade="BF"/>
        </w:rPr>
        <w:t>B</w:t>
      </w:r>
      <w:r>
        <w:rPr>
          <w:b w:val="0"/>
          <w:color w:val="17365D" w:themeColor="text2" w:themeShade="BF"/>
        </w:rPr>
        <w:t>.</w:t>
      </w:r>
      <w:r w:rsidRPr="00F21D96">
        <w:rPr>
          <w:b w:val="0"/>
          <w:color w:val="17365D" w:themeColor="text2" w:themeShade="BF"/>
        </w:rPr>
        <w:t>2</w:t>
      </w:r>
      <w:r>
        <w:rPr>
          <w:b w:val="0"/>
          <w:color w:val="17365D" w:themeColor="text2" w:themeShade="BF"/>
        </w:rPr>
        <w:t>. De byrdemæssige konsekvenser for kommunerne</w:t>
      </w:r>
      <w:bookmarkEnd w:id="18"/>
      <w:r w:rsidRPr="00F21D96">
        <w:rPr>
          <w:b w:val="0"/>
          <w:color w:val="17365D" w:themeColor="text2" w:themeShade="BF"/>
        </w:rPr>
        <w:t xml:space="preserve"> </w:t>
      </w:r>
    </w:p>
    <w:p w:rsidR="00D80A90" w:rsidRDefault="00E264BB" w:rsidP="00013753">
      <w:pPr>
        <w:jc w:val="both"/>
        <w:rPr>
          <w:rFonts w:ascii="Garamond" w:hAnsi="Garamond"/>
          <w:sz w:val="24"/>
          <w:szCs w:val="24"/>
        </w:rPr>
      </w:pPr>
      <w:r>
        <w:rPr>
          <w:rFonts w:ascii="Garamond" w:hAnsi="Garamond"/>
          <w:sz w:val="24"/>
          <w:szCs w:val="24"/>
        </w:rPr>
        <w:t>I tabel B.1</w:t>
      </w:r>
      <w:r w:rsidR="008674AD">
        <w:rPr>
          <w:rFonts w:ascii="Garamond" w:hAnsi="Garamond"/>
          <w:sz w:val="24"/>
          <w:szCs w:val="24"/>
        </w:rPr>
        <w:t xml:space="preserve"> ses de byrdefordelingsmæssige konsekvenser</w:t>
      </w:r>
      <w:r w:rsidR="00C73E1B" w:rsidRPr="00A34028">
        <w:rPr>
          <w:rFonts w:ascii="Garamond" w:hAnsi="Garamond"/>
          <w:sz w:val="24"/>
          <w:szCs w:val="24"/>
        </w:rPr>
        <w:t xml:space="preserve"> af </w:t>
      </w:r>
      <w:r w:rsidR="008674AD">
        <w:rPr>
          <w:rFonts w:ascii="Garamond" w:hAnsi="Garamond"/>
          <w:sz w:val="24"/>
          <w:szCs w:val="24"/>
        </w:rPr>
        <w:t xml:space="preserve">forslaget om </w:t>
      </w:r>
      <w:r w:rsidR="00B062B8">
        <w:rPr>
          <w:rFonts w:ascii="Garamond" w:hAnsi="Garamond"/>
          <w:sz w:val="24"/>
          <w:szCs w:val="24"/>
        </w:rPr>
        <w:t xml:space="preserve">en </w:t>
      </w:r>
      <w:r w:rsidR="00A34028" w:rsidRPr="00A34028">
        <w:rPr>
          <w:rFonts w:ascii="Garamond" w:hAnsi="Garamond"/>
          <w:sz w:val="24"/>
          <w:szCs w:val="24"/>
        </w:rPr>
        <w:t>differentier</w:t>
      </w:r>
      <w:r w:rsidR="00B062B8">
        <w:rPr>
          <w:rFonts w:ascii="Garamond" w:hAnsi="Garamond"/>
          <w:sz w:val="24"/>
          <w:szCs w:val="24"/>
        </w:rPr>
        <w:t xml:space="preserve">et KMF </w:t>
      </w:r>
      <w:r w:rsidR="008674AD">
        <w:rPr>
          <w:rFonts w:ascii="Garamond" w:hAnsi="Garamond"/>
          <w:sz w:val="24"/>
          <w:szCs w:val="24"/>
        </w:rPr>
        <w:t xml:space="preserve">fordelt </w:t>
      </w:r>
      <w:r w:rsidR="00A34028" w:rsidRPr="00A34028">
        <w:rPr>
          <w:rFonts w:ascii="Garamond" w:hAnsi="Garamond"/>
          <w:sz w:val="24"/>
          <w:szCs w:val="24"/>
        </w:rPr>
        <w:t xml:space="preserve">ift. </w:t>
      </w:r>
      <w:r w:rsidR="00B0298D">
        <w:rPr>
          <w:rFonts w:ascii="Garamond" w:hAnsi="Garamond"/>
          <w:sz w:val="24"/>
          <w:szCs w:val="24"/>
        </w:rPr>
        <w:t>gennemslag i udligning</w:t>
      </w:r>
      <w:r w:rsidR="008674AD" w:rsidRPr="00A34028">
        <w:rPr>
          <w:rFonts w:ascii="Garamond" w:hAnsi="Garamond"/>
          <w:sz w:val="24"/>
          <w:szCs w:val="24"/>
        </w:rPr>
        <w:t xml:space="preserve"> </w:t>
      </w:r>
      <w:r w:rsidR="00A34028" w:rsidRPr="00A34028">
        <w:rPr>
          <w:rFonts w:ascii="Garamond" w:hAnsi="Garamond"/>
          <w:sz w:val="24"/>
          <w:szCs w:val="24"/>
        </w:rPr>
        <w:t>og kommunal</w:t>
      </w:r>
      <w:r w:rsidR="00B062B8">
        <w:rPr>
          <w:rFonts w:ascii="Garamond" w:hAnsi="Garamond"/>
          <w:sz w:val="24"/>
          <w:szCs w:val="24"/>
        </w:rPr>
        <w:t>e</w:t>
      </w:r>
      <w:r w:rsidR="00A34028" w:rsidRPr="00A34028">
        <w:rPr>
          <w:rFonts w:ascii="Garamond" w:hAnsi="Garamond"/>
          <w:sz w:val="24"/>
          <w:szCs w:val="24"/>
        </w:rPr>
        <w:t xml:space="preserve"> merudgifter</w:t>
      </w:r>
      <w:r w:rsidR="008674AD">
        <w:rPr>
          <w:rFonts w:ascii="Garamond" w:hAnsi="Garamond"/>
          <w:sz w:val="24"/>
          <w:szCs w:val="24"/>
        </w:rPr>
        <w:t xml:space="preserve"> </w:t>
      </w:r>
      <w:r w:rsidR="008674AD" w:rsidRPr="00A34028">
        <w:rPr>
          <w:rFonts w:ascii="Garamond" w:hAnsi="Garamond"/>
          <w:sz w:val="24"/>
          <w:szCs w:val="24"/>
        </w:rPr>
        <w:t>vedr. ændret</w:t>
      </w:r>
      <w:r w:rsidR="008674AD">
        <w:rPr>
          <w:rFonts w:ascii="Garamond" w:hAnsi="Garamond"/>
          <w:sz w:val="24"/>
          <w:szCs w:val="24"/>
        </w:rPr>
        <w:t xml:space="preserve"> KMF, og samlede ændring</w:t>
      </w:r>
      <w:r w:rsidR="00A34028" w:rsidRPr="00A34028">
        <w:rPr>
          <w:rFonts w:ascii="Garamond" w:hAnsi="Garamond"/>
          <w:sz w:val="24"/>
          <w:szCs w:val="24"/>
        </w:rPr>
        <w:t xml:space="preserve"> </w:t>
      </w:r>
      <w:r w:rsidR="008674AD">
        <w:rPr>
          <w:rFonts w:ascii="Garamond" w:hAnsi="Garamond"/>
          <w:sz w:val="24"/>
          <w:szCs w:val="24"/>
        </w:rPr>
        <w:t>(top-ti kommunerne f</w:t>
      </w:r>
      <w:r w:rsidR="00615D48">
        <w:rPr>
          <w:rFonts w:ascii="Garamond" w:hAnsi="Garamond"/>
          <w:sz w:val="24"/>
          <w:szCs w:val="24"/>
        </w:rPr>
        <w:t>remgår også i tabel 3.17)</w:t>
      </w:r>
      <w:r w:rsidR="00B062B8">
        <w:rPr>
          <w:rFonts w:ascii="Garamond" w:hAnsi="Garamond"/>
          <w:sz w:val="24"/>
          <w:szCs w:val="24"/>
        </w:rPr>
        <w:t>.</w:t>
      </w:r>
    </w:p>
    <w:p w:rsidR="008674AD" w:rsidRDefault="00AC43CD" w:rsidP="00013753">
      <w:pPr>
        <w:jc w:val="both"/>
      </w:pPr>
      <w:r w:rsidRPr="00AC43CD">
        <w:drawing>
          <wp:inline distT="0" distB="0" distL="0" distR="0" wp14:anchorId="08CC79CB" wp14:editId="27690863">
            <wp:extent cx="4164387" cy="7182774"/>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8596" cy="7190034"/>
                    </a:xfrm>
                    <a:prstGeom prst="rect">
                      <a:avLst/>
                    </a:prstGeom>
                    <a:noFill/>
                    <a:ln>
                      <a:noFill/>
                    </a:ln>
                  </pic:spPr>
                </pic:pic>
              </a:graphicData>
            </a:graphic>
          </wp:inline>
        </w:drawing>
      </w:r>
      <w:r w:rsidR="008674AD" w:rsidRPr="008674AD">
        <w:t xml:space="preserve"> </w:t>
      </w:r>
    </w:p>
    <w:p w:rsidR="00A34028" w:rsidRDefault="00E264BB" w:rsidP="00013753">
      <w:pPr>
        <w:jc w:val="both"/>
        <w:rPr>
          <w:rFonts w:ascii="Garamond" w:hAnsi="Garamond"/>
          <w:sz w:val="24"/>
          <w:szCs w:val="24"/>
        </w:rPr>
      </w:pPr>
      <w:r>
        <w:rPr>
          <w:rFonts w:ascii="Garamond" w:hAnsi="Garamond"/>
          <w:sz w:val="24"/>
          <w:szCs w:val="24"/>
        </w:rPr>
        <w:t>I tabel B.2.</w:t>
      </w:r>
      <w:r w:rsidR="008674AD">
        <w:rPr>
          <w:rFonts w:ascii="Garamond" w:hAnsi="Garamond"/>
          <w:sz w:val="24"/>
          <w:szCs w:val="24"/>
        </w:rPr>
        <w:t xml:space="preserve"> ses de byrdefordelingsmæssige konsekvenser</w:t>
      </w:r>
      <w:r w:rsidR="008674AD" w:rsidRPr="00A34028">
        <w:rPr>
          <w:rFonts w:ascii="Garamond" w:hAnsi="Garamond"/>
          <w:sz w:val="24"/>
          <w:szCs w:val="24"/>
        </w:rPr>
        <w:t xml:space="preserve"> af </w:t>
      </w:r>
      <w:r w:rsidR="008674AD">
        <w:rPr>
          <w:rFonts w:ascii="Garamond" w:hAnsi="Garamond"/>
          <w:sz w:val="24"/>
          <w:szCs w:val="24"/>
        </w:rPr>
        <w:t xml:space="preserve">både forslaget om en </w:t>
      </w:r>
      <w:r w:rsidR="008674AD" w:rsidRPr="00A34028">
        <w:rPr>
          <w:rFonts w:ascii="Garamond" w:hAnsi="Garamond"/>
          <w:sz w:val="24"/>
          <w:szCs w:val="24"/>
        </w:rPr>
        <w:t>differentier</w:t>
      </w:r>
      <w:r w:rsidR="008674AD">
        <w:rPr>
          <w:rFonts w:ascii="Garamond" w:hAnsi="Garamond"/>
          <w:sz w:val="24"/>
          <w:szCs w:val="24"/>
        </w:rPr>
        <w:t xml:space="preserve">et KMF og ændret beregningsmetode fordelt </w:t>
      </w:r>
      <w:r w:rsidR="008674AD" w:rsidRPr="00A34028">
        <w:rPr>
          <w:rFonts w:ascii="Garamond" w:hAnsi="Garamond"/>
          <w:sz w:val="24"/>
          <w:szCs w:val="24"/>
        </w:rPr>
        <w:t xml:space="preserve">ift. </w:t>
      </w:r>
      <w:r w:rsidR="00B0298D">
        <w:rPr>
          <w:rFonts w:ascii="Garamond" w:hAnsi="Garamond"/>
          <w:sz w:val="24"/>
          <w:szCs w:val="24"/>
        </w:rPr>
        <w:t>gennemslag i udligning</w:t>
      </w:r>
      <w:r w:rsidR="008674AD" w:rsidRPr="00A34028">
        <w:rPr>
          <w:rFonts w:ascii="Garamond" w:hAnsi="Garamond"/>
          <w:sz w:val="24"/>
          <w:szCs w:val="24"/>
        </w:rPr>
        <w:t xml:space="preserve"> og kommunal</w:t>
      </w:r>
      <w:r w:rsidR="008674AD">
        <w:rPr>
          <w:rFonts w:ascii="Garamond" w:hAnsi="Garamond"/>
          <w:sz w:val="24"/>
          <w:szCs w:val="24"/>
        </w:rPr>
        <w:t>e</w:t>
      </w:r>
      <w:r w:rsidR="008674AD" w:rsidRPr="00A34028">
        <w:rPr>
          <w:rFonts w:ascii="Garamond" w:hAnsi="Garamond"/>
          <w:sz w:val="24"/>
          <w:szCs w:val="24"/>
        </w:rPr>
        <w:t xml:space="preserve"> merudgifter</w:t>
      </w:r>
      <w:r w:rsidR="008674AD">
        <w:rPr>
          <w:rFonts w:ascii="Garamond" w:hAnsi="Garamond"/>
          <w:sz w:val="24"/>
          <w:szCs w:val="24"/>
        </w:rPr>
        <w:t xml:space="preserve"> </w:t>
      </w:r>
      <w:r w:rsidR="008674AD" w:rsidRPr="00A34028">
        <w:rPr>
          <w:rFonts w:ascii="Garamond" w:hAnsi="Garamond"/>
          <w:sz w:val="24"/>
          <w:szCs w:val="24"/>
        </w:rPr>
        <w:t>vedr. ændret</w:t>
      </w:r>
      <w:r w:rsidR="008674AD">
        <w:rPr>
          <w:rFonts w:ascii="Garamond" w:hAnsi="Garamond"/>
          <w:sz w:val="24"/>
          <w:szCs w:val="24"/>
        </w:rPr>
        <w:t xml:space="preserve"> KMF, og samlede ændring.</w:t>
      </w:r>
    </w:p>
    <w:p w:rsidR="008674AD" w:rsidRDefault="00AC43CD" w:rsidP="00013753">
      <w:pPr>
        <w:jc w:val="both"/>
        <w:rPr>
          <w:rFonts w:ascii="Garamond" w:hAnsi="Garamond"/>
          <w:sz w:val="24"/>
          <w:szCs w:val="24"/>
        </w:rPr>
      </w:pPr>
      <w:r w:rsidRPr="00AC43CD">
        <w:drawing>
          <wp:inline distT="0" distB="0" distL="0" distR="0" wp14:anchorId="26A3876C" wp14:editId="6A8EF739">
            <wp:extent cx="4702684" cy="7639050"/>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6307" cy="7644935"/>
                    </a:xfrm>
                    <a:prstGeom prst="rect">
                      <a:avLst/>
                    </a:prstGeom>
                    <a:noFill/>
                    <a:ln>
                      <a:noFill/>
                    </a:ln>
                  </pic:spPr>
                </pic:pic>
              </a:graphicData>
            </a:graphic>
          </wp:inline>
        </w:drawing>
      </w:r>
    </w:p>
    <w:p w:rsidR="00A34028" w:rsidRDefault="00A34028" w:rsidP="00013753">
      <w:pPr>
        <w:jc w:val="both"/>
        <w:rPr>
          <w:rFonts w:ascii="Garamond" w:hAnsi="Garamond"/>
          <w:sz w:val="24"/>
          <w:szCs w:val="24"/>
        </w:rPr>
      </w:pPr>
    </w:p>
    <w:p w:rsidR="00E264BB" w:rsidRDefault="00E264BB" w:rsidP="00E264BB">
      <w:pPr>
        <w:jc w:val="both"/>
        <w:rPr>
          <w:rFonts w:ascii="Garamond" w:hAnsi="Garamond"/>
          <w:sz w:val="24"/>
          <w:szCs w:val="24"/>
        </w:rPr>
      </w:pPr>
      <w:r>
        <w:rPr>
          <w:rFonts w:ascii="Garamond" w:hAnsi="Garamond"/>
          <w:sz w:val="24"/>
          <w:szCs w:val="24"/>
        </w:rPr>
        <w:t>I tabel B.3. ses de byrdefordelingsmæssige konsekvenser</w:t>
      </w:r>
      <w:r w:rsidRPr="00A34028">
        <w:rPr>
          <w:rFonts w:ascii="Garamond" w:hAnsi="Garamond"/>
          <w:sz w:val="24"/>
          <w:szCs w:val="24"/>
        </w:rPr>
        <w:t xml:space="preserve"> af </w:t>
      </w:r>
      <w:r>
        <w:rPr>
          <w:rFonts w:ascii="Garamond" w:hAnsi="Garamond"/>
          <w:sz w:val="24"/>
          <w:szCs w:val="24"/>
        </w:rPr>
        <w:t xml:space="preserve">alle tre forslag hhv. en </w:t>
      </w:r>
      <w:r w:rsidRPr="00A34028">
        <w:rPr>
          <w:rFonts w:ascii="Garamond" w:hAnsi="Garamond"/>
          <w:sz w:val="24"/>
          <w:szCs w:val="24"/>
        </w:rPr>
        <w:t>differentier</w:t>
      </w:r>
      <w:r>
        <w:rPr>
          <w:rFonts w:ascii="Garamond" w:hAnsi="Garamond"/>
          <w:sz w:val="24"/>
          <w:szCs w:val="24"/>
        </w:rPr>
        <w:t>et KMF, ændret beregningsmetode og ændret tilbagebetaling.</w:t>
      </w:r>
    </w:p>
    <w:p w:rsidR="00AC43CD" w:rsidRDefault="00AC43CD" w:rsidP="00E264BB">
      <w:pPr>
        <w:jc w:val="both"/>
        <w:rPr>
          <w:rFonts w:ascii="Garamond" w:hAnsi="Garamond"/>
          <w:sz w:val="24"/>
          <w:szCs w:val="24"/>
        </w:rPr>
      </w:pPr>
      <w:r w:rsidRPr="00AC43CD">
        <w:drawing>
          <wp:inline distT="0" distB="0" distL="0" distR="0" wp14:anchorId="716367F2" wp14:editId="0D97A7A0">
            <wp:extent cx="4216006" cy="76073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1149" cy="7616579"/>
                    </a:xfrm>
                    <a:prstGeom prst="rect">
                      <a:avLst/>
                    </a:prstGeom>
                    <a:noFill/>
                    <a:ln>
                      <a:noFill/>
                    </a:ln>
                  </pic:spPr>
                </pic:pic>
              </a:graphicData>
            </a:graphic>
          </wp:inline>
        </w:drawing>
      </w:r>
    </w:p>
    <w:sectPr w:rsidR="00AC43CD" w:rsidSect="006608CE">
      <w:headerReference w:type="even" r:id="rId27"/>
      <w:headerReference w:type="default" r:id="rId28"/>
      <w:footerReference w:type="even" r:id="rId29"/>
      <w:footerReference w:type="default" r:id="rId30"/>
      <w:headerReference w:type="first" r:id="rId31"/>
      <w:footerReference w:type="first" r:id="rId32"/>
      <w:pgSz w:w="11906" w:h="16838"/>
      <w:pgMar w:top="1701" w:right="3117"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7E" w:rsidRDefault="004D197E" w:rsidP="00132751">
      <w:pPr>
        <w:spacing w:after="0" w:line="240" w:lineRule="auto"/>
      </w:pPr>
      <w:r>
        <w:separator/>
      </w:r>
    </w:p>
  </w:endnote>
  <w:endnote w:type="continuationSeparator" w:id="0">
    <w:p w:rsidR="004D197E" w:rsidRDefault="004D197E" w:rsidP="0013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68" w:rsidRDefault="009B066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32186"/>
      <w:docPartObj>
        <w:docPartGallery w:val="Page Numbers (Bottom of Page)"/>
        <w:docPartUnique/>
      </w:docPartObj>
    </w:sdtPr>
    <w:sdtEndPr>
      <w:rPr>
        <w:sz w:val="16"/>
        <w:szCs w:val="16"/>
      </w:rPr>
    </w:sdtEndPr>
    <w:sdtContent>
      <w:p w:rsidR="009B0668" w:rsidRPr="002E7981" w:rsidRDefault="009B0668">
        <w:pPr>
          <w:pStyle w:val="Sidefod"/>
          <w:jc w:val="right"/>
          <w:rPr>
            <w:sz w:val="16"/>
            <w:szCs w:val="16"/>
          </w:rPr>
        </w:pPr>
        <w:r w:rsidRPr="002E7981">
          <w:rPr>
            <w:sz w:val="16"/>
            <w:szCs w:val="16"/>
          </w:rPr>
          <w:fldChar w:fldCharType="begin"/>
        </w:r>
        <w:r w:rsidRPr="002E7981">
          <w:rPr>
            <w:sz w:val="16"/>
            <w:szCs w:val="16"/>
          </w:rPr>
          <w:instrText>PAGE   \* MERGEFORMAT</w:instrText>
        </w:r>
        <w:r w:rsidRPr="002E7981">
          <w:rPr>
            <w:sz w:val="16"/>
            <w:szCs w:val="16"/>
          </w:rPr>
          <w:fldChar w:fldCharType="separate"/>
        </w:r>
        <w:r w:rsidR="003C60BD">
          <w:rPr>
            <w:noProof/>
            <w:sz w:val="16"/>
            <w:szCs w:val="16"/>
          </w:rPr>
          <w:t>20</w:t>
        </w:r>
        <w:r w:rsidRPr="002E7981">
          <w:rPr>
            <w:sz w:val="16"/>
            <w:szCs w:val="16"/>
          </w:rPr>
          <w:fldChar w:fldCharType="end"/>
        </w:r>
      </w:p>
    </w:sdtContent>
  </w:sdt>
  <w:p w:rsidR="009B0668" w:rsidRDefault="009B066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68" w:rsidRDefault="009B06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7E" w:rsidRDefault="004D197E" w:rsidP="00132751">
      <w:pPr>
        <w:spacing w:after="0" w:line="240" w:lineRule="auto"/>
      </w:pPr>
      <w:r>
        <w:separator/>
      </w:r>
    </w:p>
  </w:footnote>
  <w:footnote w:type="continuationSeparator" w:id="0">
    <w:p w:rsidR="004D197E" w:rsidRDefault="004D197E" w:rsidP="00132751">
      <w:pPr>
        <w:spacing w:after="0" w:line="240" w:lineRule="auto"/>
      </w:pPr>
      <w:r>
        <w:continuationSeparator/>
      </w:r>
    </w:p>
  </w:footnote>
  <w:footnote w:id="1">
    <w:p w:rsidR="009B0668" w:rsidRPr="00224F06" w:rsidRDefault="009B0668" w:rsidP="0053397E">
      <w:pPr>
        <w:spacing w:line="240" w:lineRule="auto"/>
        <w:rPr>
          <w:rFonts w:ascii="Garamond" w:hAnsi="Garamond"/>
          <w:sz w:val="18"/>
          <w:szCs w:val="18"/>
        </w:rPr>
      </w:pPr>
      <w:r w:rsidRPr="00224F06">
        <w:rPr>
          <w:rStyle w:val="Fodnotehenvisning"/>
          <w:rFonts w:ascii="Garamond" w:hAnsi="Garamond"/>
          <w:sz w:val="18"/>
          <w:szCs w:val="18"/>
        </w:rPr>
        <w:footnoteRef/>
      </w:r>
      <w:r w:rsidRPr="00224F06">
        <w:rPr>
          <w:rFonts w:ascii="Garamond" w:hAnsi="Garamond"/>
          <w:sz w:val="18"/>
          <w:szCs w:val="18"/>
        </w:rPr>
        <w:t xml:space="preserve"> Bemærk: 0-2 år er eksl. fødsler, da det følger moderen</w:t>
      </w:r>
      <w:r>
        <w:rPr>
          <w:rFonts w:ascii="Garamond" w:hAnsi="Garamond"/>
          <w:sz w:val="18"/>
          <w:szCs w:val="18"/>
        </w:rPr>
        <w:t>.</w:t>
      </w:r>
    </w:p>
    <w:p w:rsidR="009B0668" w:rsidRDefault="009B0668" w:rsidP="0053397E">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68" w:rsidRDefault="009B066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87609"/>
      <w:docPartObj>
        <w:docPartGallery w:val="Watermarks"/>
        <w:docPartUnique/>
      </w:docPartObj>
    </w:sdtPr>
    <w:sdtContent>
      <w:p w:rsidR="009B0668" w:rsidRDefault="009B0668">
        <w:pPr>
          <w:pStyle w:val="Sidehove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45752" o:spid="_x0000_s2049" type="#_x0000_t136" style="position:absolute;margin-left:0;margin-top:0;width:346.4pt;height:173.2pt;rotation:315;z-index:-25165875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68" w:rsidRDefault="009B066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5477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60C71"/>
    <w:multiLevelType w:val="hybridMultilevel"/>
    <w:tmpl w:val="0810A358"/>
    <w:lvl w:ilvl="0" w:tplc="D7380966">
      <w:start w:val="1"/>
      <w:numFmt w:val="bullet"/>
      <w:lvlText w:val="•"/>
      <w:lvlJc w:val="left"/>
      <w:pPr>
        <w:tabs>
          <w:tab w:val="num" w:pos="720"/>
        </w:tabs>
        <w:ind w:left="720" w:hanging="360"/>
      </w:pPr>
      <w:rPr>
        <w:rFonts w:ascii="Arial" w:hAnsi="Arial" w:hint="default"/>
      </w:rPr>
    </w:lvl>
    <w:lvl w:ilvl="1" w:tplc="DFC08102" w:tentative="1">
      <w:start w:val="1"/>
      <w:numFmt w:val="bullet"/>
      <w:lvlText w:val="•"/>
      <w:lvlJc w:val="left"/>
      <w:pPr>
        <w:tabs>
          <w:tab w:val="num" w:pos="1440"/>
        </w:tabs>
        <w:ind w:left="1440" w:hanging="360"/>
      </w:pPr>
      <w:rPr>
        <w:rFonts w:ascii="Arial" w:hAnsi="Arial" w:hint="default"/>
      </w:rPr>
    </w:lvl>
    <w:lvl w:ilvl="2" w:tplc="BD607F76" w:tentative="1">
      <w:start w:val="1"/>
      <w:numFmt w:val="bullet"/>
      <w:lvlText w:val="•"/>
      <w:lvlJc w:val="left"/>
      <w:pPr>
        <w:tabs>
          <w:tab w:val="num" w:pos="2160"/>
        </w:tabs>
        <w:ind w:left="2160" w:hanging="360"/>
      </w:pPr>
      <w:rPr>
        <w:rFonts w:ascii="Arial" w:hAnsi="Arial" w:hint="default"/>
      </w:rPr>
    </w:lvl>
    <w:lvl w:ilvl="3" w:tplc="3ABCC214" w:tentative="1">
      <w:start w:val="1"/>
      <w:numFmt w:val="bullet"/>
      <w:lvlText w:val="•"/>
      <w:lvlJc w:val="left"/>
      <w:pPr>
        <w:tabs>
          <w:tab w:val="num" w:pos="2880"/>
        </w:tabs>
        <w:ind w:left="2880" w:hanging="360"/>
      </w:pPr>
      <w:rPr>
        <w:rFonts w:ascii="Arial" w:hAnsi="Arial" w:hint="default"/>
      </w:rPr>
    </w:lvl>
    <w:lvl w:ilvl="4" w:tplc="29F06B36" w:tentative="1">
      <w:start w:val="1"/>
      <w:numFmt w:val="bullet"/>
      <w:lvlText w:val="•"/>
      <w:lvlJc w:val="left"/>
      <w:pPr>
        <w:tabs>
          <w:tab w:val="num" w:pos="3600"/>
        </w:tabs>
        <w:ind w:left="3600" w:hanging="360"/>
      </w:pPr>
      <w:rPr>
        <w:rFonts w:ascii="Arial" w:hAnsi="Arial" w:hint="default"/>
      </w:rPr>
    </w:lvl>
    <w:lvl w:ilvl="5" w:tplc="50ECFBA6" w:tentative="1">
      <w:start w:val="1"/>
      <w:numFmt w:val="bullet"/>
      <w:lvlText w:val="•"/>
      <w:lvlJc w:val="left"/>
      <w:pPr>
        <w:tabs>
          <w:tab w:val="num" w:pos="4320"/>
        </w:tabs>
        <w:ind w:left="4320" w:hanging="360"/>
      </w:pPr>
      <w:rPr>
        <w:rFonts w:ascii="Arial" w:hAnsi="Arial" w:hint="default"/>
      </w:rPr>
    </w:lvl>
    <w:lvl w:ilvl="6" w:tplc="9BB859D4" w:tentative="1">
      <w:start w:val="1"/>
      <w:numFmt w:val="bullet"/>
      <w:lvlText w:val="•"/>
      <w:lvlJc w:val="left"/>
      <w:pPr>
        <w:tabs>
          <w:tab w:val="num" w:pos="5040"/>
        </w:tabs>
        <w:ind w:left="5040" w:hanging="360"/>
      </w:pPr>
      <w:rPr>
        <w:rFonts w:ascii="Arial" w:hAnsi="Arial" w:hint="default"/>
      </w:rPr>
    </w:lvl>
    <w:lvl w:ilvl="7" w:tplc="9028C620" w:tentative="1">
      <w:start w:val="1"/>
      <w:numFmt w:val="bullet"/>
      <w:lvlText w:val="•"/>
      <w:lvlJc w:val="left"/>
      <w:pPr>
        <w:tabs>
          <w:tab w:val="num" w:pos="5760"/>
        </w:tabs>
        <w:ind w:left="5760" w:hanging="360"/>
      </w:pPr>
      <w:rPr>
        <w:rFonts w:ascii="Arial" w:hAnsi="Arial" w:hint="default"/>
      </w:rPr>
    </w:lvl>
    <w:lvl w:ilvl="8" w:tplc="2BA26864" w:tentative="1">
      <w:start w:val="1"/>
      <w:numFmt w:val="bullet"/>
      <w:lvlText w:val="•"/>
      <w:lvlJc w:val="left"/>
      <w:pPr>
        <w:tabs>
          <w:tab w:val="num" w:pos="6480"/>
        </w:tabs>
        <w:ind w:left="6480" w:hanging="360"/>
      </w:pPr>
      <w:rPr>
        <w:rFonts w:ascii="Arial" w:hAnsi="Arial" w:hint="default"/>
      </w:rPr>
    </w:lvl>
  </w:abstractNum>
  <w:abstractNum w:abstractNumId="2">
    <w:nsid w:val="0FD9378D"/>
    <w:multiLevelType w:val="hybridMultilevel"/>
    <w:tmpl w:val="AA6A4798"/>
    <w:lvl w:ilvl="0" w:tplc="DC926E3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27A7359"/>
    <w:multiLevelType w:val="hybridMultilevel"/>
    <w:tmpl w:val="D7265CE4"/>
    <w:lvl w:ilvl="0" w:tplc="57E4546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7D75173"/>
    <w:multiLevelType w:val="hybridMultilevel"/>
    <w:tmpl w:val="C7AE1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744E67"/>
    <w:multiLevelType w:val="hybridMultilevel"/>
    <w:tmpl w:val="0D086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7828EC"/>
    <w:multiLevelType w:val="hybridMultilevel"/>
    <w:tmpl w:val="8F32EA06"/>
    <w:lvl w:ilvl="0" w:tplc="64AA3D50">
      <w:start w:val="29"/>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A2468B2"/>
    <w:multiLevelType w:val="hybridMultilevel"/>
    <w:tmpl w:val="7BB65446"/>
    <w:lvl w:ilvl="0" w:tplc="0406000F">
      <w:start w:val="1"/>
      <w:numFmt w:val="decimal"/>
      <w:lvlText w:val="%1."/>
      <w:lvlJc w:val="left"/>
      <w:pPr>
        <w:ind w:left="720" w:hanging="360"/>
      </w:pPr>
      <w:rPr>
        <w:rFonts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C9171AB"/>
    <w:multiLevelType w:val="hybridMultilevel"/>
    <w:tmpl w:val="B74A1E72"/>
    <w:lvl w:ilvl="0" w:tplc="D00A955E">
      <w:start w:val="8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EA93569"/>
    <w:multiLevelType w:val="hybridMultilevel"/>
    <w:tmpl w:val="220C7D3A"/>
    <w:lvl w:ilvl="0" w:tplc="D2AEFCAA">
      <w:start w:val="30"/>
      <w:numFmt w:val="bullet"/>
      <w:lvlText w:val="-"/>
      <w:lvlJc w:val="left"/>
      <w:pPr>
        <w:ind w:left="720" w:hanging="360"/>
      </w:pPr>
      <w:rPr>
        <w:rFonts w:ascii="Calibri" w:eastAsiaTheme="minorHAnsi" w:hAnsi="Calibri" w:cstheme="minorBid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368580C"/>
    <w:multiLevelType w:val="hybridMultilevel"/>
    <w:tmpl w:val="25BAB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B462740"/>
    <w:multiLevelType w:val="hybridMultilevel"/>
    <w:tmpl w:val="E75AE788"/>
    <w:lvl w:ilvl="0" w:tplc="F1F6298C">
      <w:start w:val="1"/>
      <w:numFmt w:val="bullet"/>
      <w:lvlText w:val="•"/>
      <w:lvlJc w:val="left"/>
      <w:pPr>
        <w:tabs>
          <w:tab w:val="num" w:pos="720"/>
        </w:tabs>
        <w:ind w:left="720" w:hanging="360"/>
      </w:pPr>
      <w:rPr>
        <w:rFonts w:ascii="Arial" w:hAnsi="Arial" w:hint="default"/>
      </w:rPr>
    </w:lvl>
    <w:lvl w:ilvl="1" w:tplc="27A0B398" w:tentative="1">
      <w:start w:val="1"/>
      <w:numFmt w:val="bullet"/>
      <w:lvlText w:val="•"/>
      <w:lvlJc w:val="left"/>
      <w:pPr>
        <w:tabs>
          <w:tab w:val="num" w:pos="1440"/>
        </w:tabs>
        <w:ind w:left="1440" w:hanging="360"/>
      </w:pPr>
      <w:rPr>
        <w:rFonts w:ascii="Arial" w:hAnsi="Arial" w:hint="default"/>
      </w:rPr>
    </w:lvl>
    <w:lvl w:ilvl="2" w:tplc="49548780" w:tentative="1">
      <w:start w:val="1"/>
      <w:numFmt w:val="bullet"/>
      <w:lvlText w:val="•"/>
      <w:lvlJc w:val="left"/>
      <w:pPr>
        <w:tabs>
          <w:tab w:val="num" w:pos="2160"/>
        </w:tabs>
        <w:ind w:left="2160" w:hanging="360"/>
      </w:pPr>
      <w:rPr>
        <w:rFonts w:ascii="Arial" w:hAnsi="Arial" w:hint="default"/>
      </w:rPr>
    </w:lvl>
    <w:lvl w:ilvl="3" w:tplc="CA6E8782" w:tentative="1">
      <w:start w:val="1"/>
      <w:numFmt w:val="bullet"/>
      <w:lvlText w:val="•"/>
      <w:lvlJc w:val="left"/>
      <w:pPr>
        <w:tabs>
          <w:tab w:val="num" w:pos="2880"/>
        </w:tabs>
        <w:ind w:left="2880" w:hanging="360"/>
      </w:pPr>
      <w:rPr>
        <w:rFonts w:ascii="Arial" w:hAnsi="Arial" w:hint="default"/>
      </w:rPr>
    </w:lvl>
    <w:lvl w:ilvl="4" w:tplc="FD180464" w:tentative="1">
      <w:start w:val="1"/>
      <w:numFmt w:val="bullet"/>
      <w:lvlText w:val="•"/>
      <w:lvlJc w:val="left"/>
      <w:pPr>
        <w:tabs>
          <w:tab w:val="num" w:pos="3600"/>
        </w:tabs>
        <w:ind w:left="3600" w:hanging="360"/>
      </w:pPr>
      <w:rPr>
        <w:rFonts w:ascii="Arial" w:hAnsi="Arial" w:hint="default"/>
      </w:rPr>
    </w:lvl>
    <w:lvl w:ilvl="5" w:tplc="C4488794" w:tentative="1">
      <w:start w:val="1"/>
      <w:numFmt w:val="bullet"/>
      <w:lvlText w:val="•"/>
      <w:lvlJc w:val="left"/>
      <w:pPr>
        <w:tabs>
          <w:tab w:val="num" w:pos="4320"/>
        </w:tabs>
        <w:ind w:left="4320" w:hanging="360"/>
      </w:pPr>
      <w:rPr>
        <w:rFonts w:ascii="Arial" w:hAnsi="Arial" w:hint="default"/>
      </w:rPr>
    </w:lvl>
    <w:lvl w:ilvl="6" w:tplc="DEE4925C" w:tentative="1">
      <w:start w:val="1"/>
      <w:numFmt w:val="bullet"/>
      <w:lvlText w:val="•"/>
      <w:lvlJc w:val="left"/>
      <w:pPr>
        <w:tabs>
          <w:tab w:val="num" w:pos="5040"/>
        </w:tabs>
        <w:ind w:left="5040" w:hanging="360"/>
      </w:pPr>
      <w:rPr>
        <w:rFonts w:ascii="Arial" w:hAnsi="Arial" w:hint="default"/>
      </w:rPr>
    </w:lvl>
    <w:lvl w:ilvl="7" w:tplc="80C47C46" w:tentative="1">
      <w:start w:val="1"/>
      <w:numFmt w:val="bullet"/>
      <w:lvlText w:val="•"/>
      <w:lvlJc w:val="left"/>
      <w:pPr>
        <w:tabs>
          <w:tab w:val="num" w:pos="5760"/>
        </w:tabs>
        <w:ind w:left="5760" w:hanging="360"/>
      </w:pPr>
      <w:rPr>
        <w:rFonts w:ascii="Arial" w:hAnsi="Arial" w:hint="default"/>
      </w:rPr>
    </w:lvl>
    <w:lvl w:ilvl="8" w:tplc="1A0EDABE" w:tentative="1">
      <w:start w:val="1"/>
      <w:numFmt w:val="bullet"/>
      <w:lvlText w:val="•"/>
      <w:lvlJc w:val="left"/>
      <w:pPr>
        <w:tabs>
          <w:tab w:val="num" w:pos="6480"/>
        </w:tabs>
        <w:ind w:left="6480" w:hanging="360"/>
      </w:pPr>
      <w:rPr>
        <w:rFonts w:ascii="Arial" w:hAnsi="Arial" w:hint="default"/>
      </w:rPr>
    </w:lvl>
  </w:abstractNum>
  <w:abstractNum w:abstractNumId="12">
    <w:nsid w:val="3C361D7D"/>
    <w:multiLevelType w:val="hybridMultilevel"/>
    <w:tmpl w:val="160C3DD2"/>
    <w:lvl w:ilvl="0" w:tplc="155CB3D2">
      <w:start w:val="1"/>
      <w:numFmt w:val="bullet"/>
      <w:lvlText w:val="•"/>
      <w:lvlJc w:val="left"/>
      <w:pPr>
        <w:tabs>
          <w:tab w:val="num" w:pos="720"/>
        </w:tabs>
        <w:ind w:left="720" w:hanging="360"/>
      </w:pPr>
      <w:rPr>
        <w:rFonts w:ascii="Arial" w:hAnsi="Arial" w:hint="default"/>
      </w:rPr>
    </w:lvl>
    <w:lvl w:ilvl="1" w:tplc="1220DDAC" w:tentative="1">
      <w:start w:val="1"/>
      <w:numFmt w:val="bullet"/>
      <w:lvlText w:val="•"/>
      <w:lvlJc w:val="left"/>
      <w:pPr>
        <w:tabs>
          <w:tab w:val="num" w:pos="1440"/>
        </w:tabs>
        <w:ind w:left="1440" w:hanging="360"/>
      </w:pPr>
      <w:rPr>
        <w:rFonts w:ascii="Arial" w:hAnsi="Arial" w:hint="default"/>
      </w:rPr>
    </w:lvl>
    <w:lvl w:ilvl="2" w:tplc="BECAEE86" w:tentative="1">
      <w:start w:val="1"/>
      <w:numFmt w:val="bullet"/>
      <w:lvlText w:val="•"/>
      <w:lvlJc w:val="left"/>
      <w:pPr>
        <w:tabs>
          <w:tab w:val="num" w:pos="2160"/>
        </w:tabs>
        <w:ind w:left="2160" w:hanging="360"/>
      </w:pPr>
      <w:rPr>
        <w:rFonts w:ascii="Arial" w:hAnsi="Arial" w:hint="default"/>
      </w:rPr>
    </w:lvl>
    <w:lvl w:ilvl="3" w:tplc="1C58E56A" w:tentative="1">
      <w:start w:val="1"/>
      <w:numFmt w:val="bullet"/>
      <w:lvlText w:val="•"/>
      <w:lvlJc w:val="left"/>
      <w:pPr>
        <w:tabs>
          <w:tab w:val="num" w:pos="2880"/>
        </w:tabs>
        <w:ind w:left="2880" w:hanging="360"/>
      </w:pPr>
      <w:rPr>
        <w:rFonts w:ascii="Arial" w:hAnsi="Arial" w:hint="default"/>
      </w:rPr>
    </w:lvl>
    <w:lvl w:ilvl="4" w:tplc="9252DB22" w:tentative="1">
      <w:start w:val="1"/>
      <w:numFmt w:val="bullet"/>
      <w:lvlText w:val="•"/>
      <w:lvlJc w:val="left"/>
      <w:pPr>
        <w:tabs>
          <w:tab w:val="num" w:pos="3600"/>
        </w:tabs>
        <w:ind w:left="3600" w:hanging="360"/>
      </w:pPr>
      <w:rPr>
        <w:rFonts w:ascii="Arial" w:hAnsi="Arial" w:hint="default"/>
      </w:rPr>
    </w:lvl>
    <w:lvl w:ilvl="5" w:tplc="5608F5A4" w:tentative="1">
      <w:start w:val="1"/>
      <w:numFmt w:val="bullet"/>
      <w:lvlText w:val="•"/>
      <w:lvlJc w:val="left"/>
      <w:pPr>
        <w:tabs>
          <w:tab w:val="num" w:pos="4320"/>
        </w:tabs>
        <w:ind w:left="4320" w:hanging="360"/>
      </w:pPr>
      <w:rPr>
        <w:rFonts w:ascii="Arial" w:hAnsi="Arial" w:hint="default"/>
      </w:rPr>
    </w:lvl>
    <w:lvl w:ilvl="6" w:tplc="274ABC00" w:tentative="1">
      <w:start w:val="1"/>
      <w:numFmt w:val="bullet"/>
      <w:lvlText w:val="•"/>
      <w:lvlJc w:val="left"/>
      <w:pPr>
        <w:tabs>
          <w:tab w:val="num" w:pos="5040"/>
        </w:tabs>
        <w:ind w:left="5040" w:hanging="360"/>
      </w:pPr>
      <w:rPr>
        <w:rFonts w:ascii="Arial" w:hAnsi="Arial" w:hint="default"/>
      </w:rPr>
    </w:lvl>
    <w:lvl w:ilvl="7" w:tplc="E2B4A396" w:tentative="1">
      <w:start w:val="1"/>
      <w:numFmt w:val="bullet"/>
      <w:lvlText w:val="•"/>
      <w:lvlJc w:val="left"/>
      <w:pPr>
        <w:tabs>
          <w:tab w:val="num" w:pos="5760"/>
        </w:tabs>
        <w:ind w:left="5760" w:hanging="360"/>
      </w:pPr>
      <w:rPr>
        <w:rFonts w:ascii="Arial" w:hAnsi="Arial" w:hint="default"/>
      </w:rPr>
    </w:lvl>
    <w:lvl w:ilvl="8" w:tplc="5CE40A08" w:tentative="1">
      <w:start w:val="1"/>
      <w:numFmt w:val="bullet"/>
      <w:lvlText w:val="•"/>
      <w:lvlJc w:val="left"/>
      <w:pPr>
        <w:tabs>
          <w:tab w:val="num" w:pos="6480"/>
        </w:tabs>
        <w:ind w:left="6480" w:hanging="360"/>
      </w:pPr>
      <w:rPr>
        <w:rFonts w:ascii="Arial" w:hAnsi="Arial" w:hint="default"/>
      </w:rPr>
    </w:lvl>
  </w:abstractNum>
  <w:abstractNum w:abstractNumId="13">
    <w:nsid w:val="4E5F5A19"/>
    <w:multiLevelType w:val="multilevel"/>
    <w:tmpl w:val="177C408E"/>
    <w:lvl w:ilvl="0">
      <w:start w:val="1"/>
      <w:numFmt w:val="bullet"/>
      <w:lvlText w:val="‐"/>
      <w:lvlJc w:val="left"/>
      <w:pPr>
        <w:ind w:left="340" w:hanging="340"/>
      </w:pPr>
      <w:rPr>
        <w:rFonts w:ascii="Calibri" w:hAnsi="Calibri"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Calibri" w:hAnsi="Calibri"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nsid w:val="510900EF"/>
    <w:multiLevelType w:val="hybridMultilevel"/>
    <w:tmpl w:val="1638E36C"/>
    <w:lvl w:ilvl="0" w:tplc="6204CB40">
      <w:start w:val="1"/>
      <w:numFmt w:val="bullet"/>
      <w:lvlText w:val="•"/>
      <w:lvlJc w:val="left"/>
      <w:pPr>
        <w:tabs>
          <w:tab w:val="num" w:pos="720"/>
        </w:tabs>
        <w:ind w:left="720" w:hanging="360"/>
      </w:pPr>
      <w:rPr>
        <w:rFonts w:ascii="Arial" w:hAnsi="Arial" w:hint="default"/>
      </w:rPr>
    </w:lvl>
    <w:lvl w:ilvl="1" w:tplc="CD52388E" w:tentative="1">
      <w:start w:val="1"/>
      <w:numFmt w:val="bullet"/>
      <w:lvlText w:val="•"/>
      <w:lvlJc w:val="left"/>
      <w:pPr>
        <w:tabs>
          <w:tab w:val="num" w:pos="1440"/>
        </w:tabs>
        <w:ind w:left="1440" w:hanging="360"/>
      </w:pPr>
      <w:rPr>
        <w:rFonts w:ascii="Arial" w:hAnsi="Arial" w:hint="default"/>
      </w:rPr>
    </w:lvl>
    <w:lvl w:ilvl="2" w:tplc="09C05850" w:tentative="1">
      <w:start w:val="1"/>
      <w:numFmt w:val="bullet"/>
      <w:lvlText w:val="•"/>
      <w:lvlJc w:val="left"/>
      <w:pPr>
        <w:tabs>
          <w:tab w:val="num" w:pos="2160"/>
        </w:tabs>
        <w:ind w:left="2160" w:hanging="360"/>
      </w:pPr>
      <w:rPr>
        <w:rFonts w:ascii="Arial" w:hAnsi="Arial" w:hint="default"/>
      </w:rPr>
    </w:lvl>
    <w:lvl w:ilvl="3" w:tplc="5F1E8706" w:tentative="1">
      <w:start w:val="1"/>
      <w:numFmt w:val="bullet"/>
      <w:lvlText w:val="•"/>
      <w:lvlJc w:val="left"/>
      <w:pPr>
        <w:tabs>
          <w:tab w:val="num" w:pos="2880"/>
        </w:tabs>
        <w:ind w:left="2880" w:hanging="360"/>
      </w:pPr>
      <w:rPr>
        <w:rFonts w:ascii="Arial" w:hAnsi="Arial" w:hint="default"/>
      </w:rPr>
    </w:lvl>
    <w:lvl w:ilvl="4" w:tplc="8E2CCC14" w:tentative="1">
      <w:start w:val="1"/>
      <w:numFmt w:val="bullet"/>
      <w:lvlText w:val="•"/>
      <w:lvlJc w:val="left"/>
      <w:pPr>
        <w:tabs>
          <w:tab w:val="num" w:pos="3600"/>
        </w:tabs>
        <w:ind w:left="3600" w:hanging="360"/>
      </w:pPr>
      <w:rPr>
        <w:rFonts w:ascii="Arial" w:hAnsi="Arial" w:hint="default"/>
      </w:rPr>
    </w:lvl>
    <w:lvl w:ilvl="5" w:tplc="A12818C2" w:tentative="1">
      <w:start w:val="1"/>
      <w:numFmt w:val="bullet"/>
      <w:lvlText w:val="•"/>
      <w:lvlJc w:val="left"/>
      <w:pPr>
        <w:tabs>
          <w:tab w:val="num" w:pos="4320"/>
        </w:tabs>
        <w:ind w:left="4320" w:hanging="360"/>
      </w:pPr>
      <w:rPr>
        <w:rFonts w:ascii="Arial" w:hAnsi="Arial" w:hint="default"/>
      </w:rPr>
    </w:lvl>
    <w:lvl w:ilvl="6" w:tplc="2CE81B04" w:tentative="1">
      <w:start w:val="1"/>
      <w:numFmt w:val="bullet"/>
      <w:lvlText w:val="•"/>
      <w:lvlJc w:val="left"/>
      <w:pPr>
        <w:tabs>
          <w:tab w:val="num" w:pos="5040"/>
        </w:tabs>
        <w:ind w:left="5040" w:hanging="360"/>
      </w:pPr>
      <w:rPr>
        <w:rFonts w:ascii="Arial" w:hAnsi="Arial" w:hint="default"/>
      </w:rPr>
    </w:lvl>
    <w:lvl w:ilvl="7" w:tplc="A77A73D6" w:tentative="1">
      <w:start w:val="1"/>
      <w:numFmt w:val="bullet"/>
      <w:lvlText w:val="•"/>
      <w:lvlJc w:val="left"/>
      <w:pPr>
        <w:tabs>
          <w:tab w:val="num" w:pos="5760"/>
        </w:tabs>
        <w:ind w:left="5760" w:hanging="360"/>
      </w:pPr>
      <w:rPr>
        <w:rFonts w:ascii="Arial" w:hAnsi="Arial" w:hint="default"/>
      </w:rPr>
    </w:lvl>
    <w:lvl w:ilvl="8" w:tplc="6CFC79E6" w:tentative="1">
      <w:start w:val="1"/>
      <w:numFmt w:val="bullet"/>
      <w:lvlText w:val="•"/>
      <w:lvlJc w:val="left"/>
      <w:pPr>
        <w:tabs>
          <w:tab w:val="num" w:pos="6480"/>
        </w:tabs>
        <w:ind w:left="6480" w:hanging="360"/>
      </w:pPr>
      <w:rPr>
        <w:rFonts w:ascii="Arial" w:hAnsi="Arial" w:hint="default"/>
      </w:rPr>
    </w:lvl>
  </w:abstractNum>
  <w:abstractNum w:abstractNumId="15">
    <w:nsid w:val="526C325C"/>
    <w:multiLevelType w:val="hybridMultilevel"/>
    <w:tmpl w:val="2E68C948"/>
    <w:lvl w:ilvl="0" w:tplc="E85CA494">
      <w:start w:val="1"/>
      <w:numFmt w:val="decimal"/>
      <w:lvlText w:val="%1."/>
      <w:lvlJc w:val="left"/>
      <w:pPr>
        <w:ind w:left="720" w:hanging="360"/>
      </w:pPr>
      <w:rPr>
        <w:rFonts w:hint="default"/>
        <w:color w:val="1F497D" w:themeColor="text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6C3371E"/>
    <w:multiLevelType w:val="hybridMultilevel"/>
    <w:tmpl w:val="6D7832D4"/>
    <w:lvl w:ilvl="0" w:tplc="0406000F">
      <w:start w:val="1"/>
      <w:numFmt w:val="decimal"/>
      <w:lvlText w:val="%1."/>
      <w:lvlJc w:val="left"/>
      <w:pPr>
        <w:ind w:left="720" w:hanging="360"/>
      </w:pPr>
      <w:rPr>
        <w:rFonts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B6F748B"/>
    <w:multiLevelType w:val="hybridMultilevel"/>
    <w:tmpl w:val="97784A12"/>
    <w:lvl w:ilvl="0" w:tplc="05643326">
      <w:start w:val="1"/>
      <w:numFmt w:val="bullet"/>
      <w:lvlText w:val="•"/>
      <w:lvlJc w:val="left"/>
      <w:pPr>
        <w:tabs>
          <w:tab w:val="num" w:pos="720"/>
        </w:tabs>
        <w:ind w:left="720" w:hanging="360"/>
      </w:pPr>
      <w:rPr>
        <w:rFonts w:ascii="Arial" w:hAnsi="Arial" w:hint="default"/>
      </w:rPr>
    </w:lvl>
    <w:lvl w:ilvl="1" w:tplc="8FDC6D22" w:tentative="1">
      <w:start w:val="1"/>
      <w:numFmt w:val="bullet"/>
      <w:lvlText w:val="•"/>
      <w:lvlJc w:val="left"/>
      <w:pPr>
        <w:tabs>
          <w:tab w:val="num" w:pos="1440"/>
        </w:tabs>
        <w:ind w:left="1440" w:hanging="360"/>
      </w:pPr>
      <w:rPr>
        <w:rFonts w:ascii="Arial" w:hAnsi="Arial" w:hint="default"/>
      </w:rPr>
    </w:lvl>
    <w:lvl w:ilvl="2" w:tplc="29FE45D0" w:tentative="1">
      <w:start w:val="1"/>
      <w:numFmt w:val="bullet"/>
      <w:lvlText w:val="•"/>
      <w:lvlJc w:val="left"/>
      <w:pPr>
        <w:tabs>
          <w:tab w:val="num" w:pos="2160"/>
        </w:tabs>
        <w:ind w:left="2160" w:hanging="360"/>
      </w:pPr>
      <w:rPr>
        <w:rFonts w:ascii="Arial" w:hAnsi="Arial" w:hint="default"/>
      </w:rPr>
    </w:lvl>
    <w:lvl w:ilvl="3" w:tplc="A9967446" w:tentative="1">
      <w:start w:val="1"/>
      <w:numFmt w:val="bullet"/>
      <w:lvlText w:val="•"/>
      <w:lvlJc w:val="left"/>
      <w:pPr>
        <w:tabs>
          <w:tab w:val="num" w:pos="2880"/>
        </w:tabs>
        <w:ind w:left="2880" w:hanging="360"/>
      </w:pPr>
      <w:rPr>
        <w:rFonts w:ascii="Arial" w:hAnsi="Arial" w:hint="default"/>
      </w:rPr>
    </w:lvl>
    <w:lvl w:ilvl="4" w:tplc="FCCCDF3C" w:tentative="1">
      <w:start w:val="1"/>
      <w:numFmt w:val="bullet"/>
      <w:lvlText w:val="•"/>
      <w:lvlJc w:val="left"/>
      <w:pPr>
        <w:tabs>
          <w:tab w:val="num" w:pos="3600"/>
        </w:tabs>
        <w:ind w:left="3600" w:hanging="360"/>
      </w:pPr>
      <w:rPr>
        <w:rFonts w:ascii="Arial" w:hAnsi="Arial" w:hint="default"/>
      </w:rPr>
    </w:lvl>
    <w:lvl w:ilvl="5" w:tplc="82AC7F34" w:tentative="1">
      <w:start w:val="1"/>
      <w:numFmt w:val="bullet"/>
      <w:lvlText w:val="•"/>
      <w:lvlJc w:val="left"/>
      <w:pPr>
        <w:tabs>
          <w:tab w:val="num" w:pos="4320"/>
        </w:tabs>
        <w:ind w:left="4320" w:hanging="360"/>
      </w:pPr>
      <w:rPr>
        <w:rFonts w:ascii="Arial" w:hAnsi="Arial" w:hint="default"/>
      </w:rPr>
    </w:lvl>
    <w:lvl w:ilvl="6" w:tplc="61707D50" w:tentative="1">
      <w:start w:val="1"/>
      <w:numFmt w:val="bullet"/>
      <w:lvlText w:val="•"/>
      <w:lvlJc w:val="left"/>
      <w:pPr>
        <w:tabs>
          <w:tab w:val="num" w:pos="5040"/>
        </w:tabs>
        <w:ind w:left="5040" w:hanging="360"/>
      </w:pPr>
      <w:rPr>
        <w:rFonts w:ascii="Arial" w:hAnsi="Arial" w:hint="default"/>
      </w:rPr>
    </w:lvl>
    <w:lvl w:ilvl="7" w:tplc="C72C76E0" w:tentative="1">
      <w:start w:val="1"/>
      <w:numFmt w:val="bullet"/>
      <w:lvlText w:val="•"/>
      <w:lvlJc w:val="left"/>
      <w:pPr>
        <w:tabs>
          <w:tab w:val="num" w:pos="5760"/>
        </w:tabs>
        <w:ind w:left="5760" w:hanging="360"/>
      </w:pPr>
      <w:rPr>
        <w:rFonts w:ascii="Arial" w:hAnsi="Arial" w:hint="default"/>
      </w:rPr>
    </w:lvl>
    <w:lvl w:ilvl="8" w:tplc="F4029B9E" w:tentative="1">
      <w:start w:val="1"/>
      <w:numFmt w:val="bullet"/>
      <w:lvlText w:val="•"/>
      <w:lvlJc w:val="left"/>
      <w:pPr>
        <w:tabs>
          <w:tab w:val="num" w:pos="6480"/>
        </w:tabs>
        <w:ind w:left="6480" w:hanging="360"/>
      </w:pPr>
      <w:rPr>
        <w:rFonts w:ascii="Arial" w:hAnsi="Arial" w:hint="default"/>
      </w:rPr>
    </w:lvl>
  </w:abstractNum>
  <w:abstractNum w:abstractNumId="18">
    <w:nsid w:val="6586189D"/>
    <w:multiLevelType w:val="hybridMultilevel"/>
    <w:tmpl w:val="7EE83096"/>
    <w:lvl w:ilvl="0" w:tplc="B28E9F58">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DD72D77"/>
    <w:multiLevelType w:val="hybridMultilevel"/>
    <w:tmpl w:val="5A3ACC54"/>
    <w:lvl w:ilvl="0" w:tplc="60ECA4F2">
      <w:start w:val="873"/>
      <w:numFmt w:val="bullet"/>
      <w:lvlText w:val="-"/>
      <w:lvlJc w:val="left"/>
      <w:pPr>
        <w:ind w:left="720" w:hanging="360"/>
      </w:pPr>
      <w:rPr>
        <w:rFonts w:ascii="Garamond" w:eastAsiaTheme="minorHAnsi" w:hAnsi="Garamond" w:cstheme="minorBidi" w:hint="default"/>
        <w: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209131E"/>
    <w:multiLevelType w:val="hybridMultilevel"/>
    <w:tmpl w:val="5622EF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47F6BD6"/>
    <w:multiLevelType w:val="hybridMultilevel"/>
    <w:tmpl w:val="6BB8FB9E"/>
    <w:lvl w:ilvl="0" w:tplc="D7D45B28">
      <w:start w:val="1"/>
      <w:numFmt w:val="decimal"/>
      <w:lvlText w:val="%1."/>
      <w:lvlJc w:val="left"/>
      <w:pPr>
        <w:ind w:left="286" w:hanging="360"/>
      </w:pPr>
      <w:rPr>
        <w:rFonts w:hint="default"/>
      </w:rPr>
    </w:lvl>
    <w:lvl w:ilvl="1" w:tplc="04060019" w:tentative="1">
      <w:start w:val="1"/>
      <w:numFmt w:val="lowerLetter"/>
      <w:lvlText w:val="%2."/>
      <w:lvlJc w:val="left"/>
      <w:pPr>
        <w:ind w:left="1006" w:hanging="360"/>
      </w:pPr>
    </w:lvl>
    <w:lvl w:ilvl="2" w:tplc="0406001B" w:tentative="1">
      <w:start w:val="1"/>
      <w:numFmt w:val="lowerRoman"/>
      <w:lvlText w:val="%3."/>
      <w:lvlJc w:val="right"/>
      <w:pPr>
        <w:ind w:left="1726" w:hanging="180"/>
      </w:pPr>
    </w:lvl>
    <w:lvl w:ilvl="3" w:tplc="0406000F" w:tentative="1">
      <w:start w:val="1"/>
      <w:numFmt w:val="decimal"/>
      <w:lvlText w:val="%4."/>
      <w:lvlJc w:val="left"/>
      <w:pPr>
        <w:ind w:left="2446" w:hanging="360"/>
      </w:pPr>
    </w:lvl>
    <w:lvl w:ilvl="4" w:tplc="04060019" w:tentative="1">
      <w:start w:val="1"/>
      <w:numFmt w:val="lowerLetter"/>
      <w:lvlText w:val="%5."/>
      <w:lvlJc w:val="left"/>
      <w:pPr>
        <w:ind w:left="3166" w:hanging="360"/>
      </w:pPr>
    </w:lvl>
    <w:lvl w:ilvl="5" w:tplc="0406001B" w:tentative="1">
      <w:start w:val="1"/>
      <w:numFmt w:val="lowerRoman"/>
      <w:lvlText w:val="%6."/>
      <w:lvlJc w:val="right"/>
      <w:pPr>
        <w:ind w:left="3886" w:hanging="180"/>
      </w:pPr>
    </w:lvl>
    <w:lvl w:ilvl="6" w:tplc="0406000F" w:tentative="1">
      <w:start w:val="1"/>
      <w:numFmt w:val="decimal"/>
      <w:lvlText w:val="%7."/>
      <w:lvlJc w:val="left"/>
      <w:pPr>
        <w:ind w:left="4606" w:hanging="360"/>
      </w:pPr>
    </w:lvl>
    <w:lvl w:ilvl="7" w:tplc="04060019" w:tentative="1">
      <w:start w:val="1"/>
      <w:numFmt w:val="lowerLetter"/>
      <w:lvlText w:val="%8."/>
      <w:lvlJc w:val="left"/>
      <w:pPr>
        <w:ind w:left="5326" w:hanging="360"/>
      </w:pPr>
    </w:lvl>
    <w:lvl w:ilvl="8" w:tplc="0406001B" w:tentative="1">
      <w:start w:val="1"/>
      <w:numFmt w:val="lowerRoman"/>
      <w:lvlText w:val="%9."/>
      <w:lvlJc w:val="right"/>
      <w:pPr>
        <w:ind w:left="6046" w:hanging="180"/>
      </w:pPr>
    </w:lvl>
  </w:abstractNum>
  <w:abstractNum w:abstractNumId="22">
    <w:nsid w:val="765C7A50"/>
    <w:multiLevelType w:val="hybridMultilevel"/>
    <w:tmpl w:val="2D602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BA24F6F"/>
    <w:multiLevelType w:val="hybridMultilevel"/>
    <w:tmpl w:val="2EFE2BF0"/>
    <w:lvl w:ilvl="0" w:tplc="01FA1702">
      <w:start w:val="1"/>
      <w:numFmt w:val="bullet"/>
      <w:lvlText w:val="•"/>
      <w:lvlJc w:val="left"/>
      <w:pPr>
        <w:tabs>
          <w:tab w:val="num" w:pos="720"/>
        </w:tabs>
        <w:ind w:left="720" w:hanging="360"/>
      </w:pPr>
      <w:rPr>
        <w:rFonts w:ascii="Arial" w:hAnsi="Arial" w:hint="default"/>
      </w:rPr>
    </w:lvl>
    <w:lvl w:ilvl="1" w:tplc="2CBCB832" w:tentative="1">
      <w:start w:val="1"/>
      <w:numFmt w:val="bullet"/>
      <w:lvlText w:val="•"/>
      <w:lvlJc w:val="left"/>
      <w:pPr>
        <w:tabs>
          <w:tab w:val="num" w:pos="1440"/>
        </w:tabs>
        <w:ind w:left="1440" w:hanging="360"/>
      </w:pPr>
      <w:rPr>
        <w:rFonts w:ascii="Arial" w:hAnsi="Arial" w:hint="default"/>
      </w:rPr>
    </w:lvl>
    <w:lvl w:ilvl="2" w:tplc="05DC36A2" w:tentative="1">
      <w:start w:val="1"/>
      <w:numFmt w:val="bullet"/>
      <w:lvlText w:val="•"/>
      <w:lvlJc w:val="left"/>
      <w:pPr>
        <w:tabs>
          <w:tab w:val="num" w:pos="2160"/>
        </w:tabs>
        <w:ind w:left="2160" w:hanging="360"/>
      </w:pPr>
      <w:rPr>
        <w:rFonts w:ascii="Arial" w:hAnsi="Arial" w:hint="default"/>
      </w:rPr>
    </w:lvl>
    <w:lvl w:ilvl="3" w:tplc="30B281DE" w:tentative="1">
      <w:start w:val="1"/>
      <w:numFmt w:val="bullet"/>
      <w:lvlText w:val="•"/>
      <w:lvlJc w:val="left"/>
      <w:pPr>
        <w:tabs>
          <w:tab w:val="num" w:pos="2880"/>
        </w:tabs>
        <w:ind w:left="2880" w:hanging="360"/>
      </w:pPr>
      <w:rPr>
        <w:rFonts w:ascii="Arial" w:hAnsi="Arial" w:hint="default"/>
      </w:rPr>
    </w:lvl>
    <w:lvl w:ilvl="4" w:tplc="C6D6AFAC" w:tentative="1">
      <w:start w:val="1"/>
      <w:numFmt w:val="bullet"/>
      <w:lvlText w:val="•"/>
      <w:lvlJc w:val="left"/>
      <w:pPr>
        <w:tabs>
          <w:tab w:val="num" w:pos="3600"/>
        </w:tabs>
        <w:ind w:left="3600" w:hanging="360"/>
      </w:pPr>
      <w:rPr>
        <w:rFonts w:ascii="Arial" w:hAnsi="Arial" w:hint="default"/>
      </w:rPr>
    </w:lvl>
    <w:lvl w:ilvl="5" w:tplc="E1A66102" w:tentative="1">
      <w:start w:val="1"/>
      <w:numFmt w:val="bullet"/>
      <w:lvlText w:val="•"/>
      <w:lvlJc w:val="left"/>
      <w:pPr>
        <w:tabs>
          <w:tab w:val="num" w:pos="4320"/>
        </w:tabs>
        <w:ind w:left="4320" w:hanging="360"/>
      </w:pPr>
      <w:rPr>
        <w:rFonts w:ascii="Arial" w:hAnsi="Arial" w:hint="default"/>
      </w:rPr>
    </w:lvl>
    <w:lvl w:ilvl="6" w:tplc="E22AF58A" w:tentative="1">
      <w:start w:val="1"/>
      <w:numFmt w:val="bullet"/>
      <w:lvlText w:val="•"/>
      <w:lvlJc w:val="left"/>
      <w:pPr>
        <w:tabs>
          <w:tab w:val="num" w:pos="5040"/>
        </w:tabs>
        <w:ind w:left="5040" w:hanging="360"/>
      </w:pPr>
      <w:rPr>
        <w:rFonts w:ascii="Arial" w:hAnsi="Arial" w:hint="default"/>
      </w:rPr>
    </w:lvl>
    <w:lvl w:ilvl="7" w:tplc="4BA0D0B0" w:tentative="1">
      <w:start w:val="1"/>
      <w:numFmt w:val="bullet"/>
      <w:lvlText w:val="•"/>
      <w:lvlJc w:val="left"/>
      <w:pPr>
        <w:tabs>
          <w:tab w:val="num" w:pos="5760"/>
        </w:tabs>
        <w:ind w:left="5760" w:hanging="360"/>
      </w:pPr>
      <w:rPr>
        <w:rFonts w:ascii="Arial" w:hAnsi="Arial" w:hint="default"/>
      </w:rPr>
    </w:lvl>
    <w:lvl w:ilvl="8" w:tplc="AE48A9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10"/>
  </w:num>
  <w:num w:numId="5">
    <w:abstractNumId w:val="15"/>
  </w:num>
  <w:num w:numId="6">
    <w:abstractNumId w:val="13"/>
  </w:num>
  <w:num w:numId="7">
    <w:abstractNumId w:val="9"/>
  </w:num>
  <w:num w:numId="8">
    <w:abstractNumId w:val="1"/>
  </w:num>
  <w:num w:numId="9">
    <w:abstractNumId w:val="17"/>
  </w:num>
  <w:num w:numId="10">
    <w:abstractNumId w:val="23"/>
  </w:num>
  <w:num w:numId="11">
    <w:abstractNumId w:val="11"/>
  </w:num>
  <w:num w:numId="12">
    <w:abstractNumId w:val="14"/>
  </w:num>
  <w:num w:numId="13">
    <w:abstractNumId w:val="12"/>
  </w:num>
  <w:num w:numId="14">
    <w:abstractNumId w:val="21"/>
  </w:num>
  <w:num w:numId="15">
    <w:abstractNumId w:val="2"/>
  </w:num>
  <w:num w:numId="16">
    <w:abstractNumId w:val="19"/>
  </w:num>
  <w:num w:numId="17">
    <w:abstractNumId w:val="0"/>
  </w:num>
  <w:num w:numId="18">
    <w:abstractNumId w:val="22"/>
  </w:num>
  <w:num w:numId="19">
    <w:abstractNumId w:val="8"/>
  </w:num>
  <w:num w:numId="20">
    <w:abstractNumId w:val="6"/>
  </w:num>
  <w:num w:numId="21">
    <w:abstractNumId w:val="16"/>
  </w:num>
  <w:num w:numId="22">
    <w:abstractNumId w:val="2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F1"/>
    <w:rsid w:val="00013753"/>
    <w:rsid w:val="00025285"/>
    <w:rsid w:val="00027240"/>
    <w:rsid w:val="00031F02"/>
    <w:rsid w:val="00033F22"/>
    <w:rsid w:val="00037E95"/>
    <w:rsid w:val="00041B17"/>
    <w:rsid w:val="000439DE"/>
    <w:rsid w:val="00052CF9"/>
    <w:rsid w:val="000633DD"/>
    <w:rsid w:val="00073C86"/>
    <w:rsid w:val="00073EEF"/>
    <w:rsid w:val="00082DE2"/>
    <w:rsid w:val="000A45DD"/>
    <w:rsid w:val="000B1AEF"/>
    <w:rsid w:val="000B5D3E"/>
    <w:rsid w:val="000F7905"/>
    <w:rsid w:val="001053A6"/>
    <w:rsid w:val="00113A90"/>
    <w:rsid w:val="0011669B"/>
    <w:rsid w:val="0013078E"/>
    <w:rsid w:val="00132751"/>
    <w:rsid w:val="00167571"/>
    <w:rsid w:val="0017212C"/>
    <w:rsid w:val="001944D3"/>
    <w:rsid w:val="00195791"/>
    <w:rsid w:val="0019777B"/>
    <w:rsid w:val="001A0F64"/>
    <w:rsid w:val="001A2D3B"/>
    <w:rsid w:val="001B7447"/>
    <w:rsid w:val="001B7D57"/>
    <w:rsid w:val="001E2656"/>
    <w:rsid w:val="001E2E6A"/>
    <w:rsid w:val="001F5002"/>
    <w:rsid w:val="001F5E41"/>
    <w:rsid w:val="002024CF"/>
    <w:rsid w:val="002075A4"/>
    <w:rsid w:val="00212091"/>
    <w:rsid w:val="002134AB"/>
    <w:rsid w:val="00217C35"/>
    <w:rsid w:val="00224F06"/>
    <w:rsid w:val="0025052A"/>
    <w:rsid w:val="0026234E"/>
    <w:rsid w:val="002638B2"/>
    <w:rsid w:val="002739BB"/>
    <w:rsid w:val="00286901"/>
    <w:rsid w:val="002923BA"/>
    <w:rsid w:val="002A17EE"/>
    <w:rsid w:val="002B58E6"/>
    <w:rsid w:val="002E6F1A"/>
    <w:rsid w:val="002E7981"/>
    <w:rsid w:val="002E79B1"/>
    <w:rsid w:val="003152FB"/>
    <w:rsid w:val="0032255C"/>
    <w:rsid w:val="00334F57"/>
    <w:rsid w:val="00351954"/>
    <w:rsid w:val="003733E8"/>
    <w:rsid w:val="003B4BFC"/>
    <w:rsid w:val="003B5520"/>
    <w:rsid w:val="003C22EE"/>
    <w:rsid w:val="003C60BD"/>
    <w:rsid w:val="003F7ADF"/>
    <w:rsid w:val="0040682C"/>
    <w:rsid w:val="00406ECC"/>
    <w:rsid w:val="00424680"/>
    <w:rsid w:val="0042731D"/>
    <w:rsid w:val="004346C2"/>
    <w:rsid w:val="0045317C"/>
    <w:rsid w:val="00477E0E"/>
    <w:rsid w:val="00483EBC"/>
    <w:rsid w:val="004A2B4D"/>
    <w:rsid w:val="004A2FF8"/>
    <w:rsid w:val="004B4E64"/>
    <w:rsid w:val="004C097A"/>
    <w:rsid w:val="004D197E"/>
    <w:rsid w:val="004D3C86"/>
    <w:rsid w:val="004F687A"/>
    <w:rsid w:val="00503F90"/>
    <w:rsid w:val="005209C6"/>
    <w:rsid w:val="00531DDB"/>
    <w:rsid w:val="0053397E"/>
    <w:rsid w:val="00534DAC"/>
    <w:rsid w:val="00552293"/>
    <w:rsid w:val="0055617A"/>
    <w:rsid w:val="0056048C"/>
    <w:rsid w:val="00574BE0"/>
    <w:rsid w:val="00587157"/>
    <w:rsid w:val="0059288F"/>
    <w:rsid w:val="00595612"/>
    <w:rsid w:val="005A48F8"/>
    <w:rsid w:val="005A766D"/>
    <w:rsid w:val="005B31D4"/>
    <w:rsid w:val="005C2DCF"/>
    <w:rsid w:val="005E4E07"/>
    <w:rsid w:val="00600062"/>
    <w:rsid w:val="0061476D"/>
    <w:rsid w:val="00615D48"/>
    <w:rsid w:val="00632EFC"/>
    <w:rsid w:val="00652908"/>
    <w:rsid w:val="006608CE"/>
    <w:rsid w:val="0067444F"/>
    <w:rsid w:val="00697746"/>
    <w:rsid w:val="006A07D2"/>
    <w:rsid w:val="006A1E43"/>
    <w:rsid w:val="006A547E"/>
    <w:rsid w:val="006B629C"/>
    <w:rsid w:val="006B745D"/>
    <w:rsid w:val="006E010F"/>
    <w:rsid w:val="006E091B"/>
    <w:rsid w:val="006E0EC2"/>
    <w:rsid w:val="006E4429"/>
    <w:rsid w:val="006F660A"/>
    <w:rsid w:val="0070491D"/>
    <w:rsid w:val="007133A2"/>
    <w:rsid w:val="00723AB4"/>
    <w:rsid w:val="00725798"/>
    <w:rsid w:val="007542FE"/>
    <w:rsid w:val="00757971"/>
    <w:rsid w:val="00781C12"/>
    <w:rsid w:val="007A7454"/>
    <w:rsid w:val="007D0FEF"/>
    <w:rsid w:val="007D28B8"/>
    <w:rsid w:val="007D4E1A"/>
    <w:rsid w:val="007D739D"/>
    <w:rsid w:val="00805DF4"/>
    <w:rsid w:val="00820002"/>
    <w:rsid w:val="00843846"/>
    <w:rsid w:val="008514B5"/>
    <w:rsid w:val="00860508"/>
    <w:rsid w:val="00862B31"/>
    <w:rsid w:val="008674AD"/>
    <w:rsid w:val="00867B4E"/>
    <w:rsid w:val="0087248A"/>
    <w:rsid w:val="008801FC"/>
    <w:rsid w:val="00897D01"/>
    <w:rsid w:val="008A5FF3"/>
    <w:rsid w:val="008C67B6"/>
    <w:rsid w:val="008D0CC3"/>
    <w:rsid w:val="008D1A76"/>
    <w:rsid w:val="008D4B7D"/>
    <w:rsid w:val="008E796A"/>
    <w:rsid w:val="008F428B"/>
    <w:rsid w:val="00913907"/>
    <w:rsid w:val="00936D66"/>
    <w:rsid w:val="0093755C"/>
    <w:rsid w:val="00946640"/>
    <w:rsid w:val="00954DE2"/>
    <w:rsid w:val="009671BC"/>
    <w:rsid w:val="00983E9A"/>
    <w:rsid w:val="00985CCD"/>
    <w:rsid w:val="009921EA"/>
    <w:rsid w:val="009A0DF2"/>
    <w:rsid w:val="009A562C"/>
    <w:rsid w:val="009A5B31"/>
    <w:rsid w:val="009B0668"/>
    <w:rsid w:val="009B2E5B"/>
    <w:rsid w:val="009B62F8"/>
    <w:rsid w:val="009C00D1"/>
    <w:rsid w:val="009C2968"/>
    <w:rsid w:val="009D0962"/>
    <w:rsid w:val="00A075CB"/>
    <w:rsid w:val="00A1204D"/>
    <w:rsid w:val="00A210BC"/>
    <w:rsid w:val="00A25032"/>
    <w:rsid w:val="00A315E5"/>
    <w:rsid w:val="00A34028"/>
    <w:rsid w:val="00A443C8"/>
    <w:rsid w:val="00A5209C"/>
    <w:rsid w:val="00A525A3"/>
    <w:rsid w:val="00A634D6"/>
    <w:rsid w:val="00A84421"/>
    <w:rsid w:val="00AA037D"/>
    <w:rsid w:val="00AA6AEA"/>
    <w:rsid w:val="00AC1E7B"/>
    <w:rsid w:val="00AC43CD"/>
    <w:rsid w:val="00AD5EAA"/>
    <w:rsid w:val="00AD6C64"/>
    <w:rsid w:val="00AE17D5"/>
    <w:rsid w:val="00AE7D7C"/>
    <w:rsid w:val="00B0298D"/>
    <w:rsid w:val="00B062B8"/>
    <w:rsid w:val="00B21B1A"/>
    <w:rsid w:val="00B30869"/>
    <w:rsid w:val="00B36950"/>
    <w:rsid w:val="00B36C8A"/>
    <w:rsid w:val="00B510DA"/>
    <w:rsid w:val="00B72A66"/>
    <w:rsid w:val="00B74E67"/>
    <w:rsid w:val="00B8437D"/>
    <w:rsid w:val="00B955C3"/>
    <w:rsid w:val="00B955F1"/>
    <w:rsid w:val="00BA3633"/>
    <w:rsid w:val="00BA3DFA"/>
    <w:rsid w:val="00BB5145"/>
    <w:rsid w:val="00BC175A"/>
    <w:rsid w:val="00BC3AC3"/>
    <w:rsid w:val="00BD5DDA"/>
    <w:rsid w:val="00BE2AF4"/>
    <w:rsid w:val="00BE484A"/>
    <w:rsid w:val="00BE642B"/>
    <w:rsid w:val="00BF367F"/>
    <w:rsid w:val="00BF423D"/>
    <w:rsid w:val="00C05B80"/>
    <w:rsid w:val="00C06E9F"/>
    <w:rsid w:val="00C12E08"/>
    <w:rsid w:val="00C70E7B"/>
    <w:rsid w:val="00C73E1B"/>
    <w:rsid w:val="00C85423"/>
    <w:rsid w:val="00C90E18"/>
    <w:rsid w:val="00CA3D3B"/>
    <w:rsid w:val="00CA577A"/>
    <w:rsid w:val="00CB7793"/>
    <w:rsid w:val="00CC425F"/>
    <w:rsid w:val="00CC7780"/>
    <w:rsid w:val="00CD3A15"/>
    <w:rsid w:val="00CE06B8"/>
    <w:rsid w:val="00CE584A"/>
    <w:rsid w:val="00D23E28"/>
    <w:rsid w:val="00D457E3"/>
    <w:rsid w:val="00D523E3"/>
    <w:rsid w:val="00D60CDB"/>
    <w:rsid w:val="00D62AEB"/>
    <w:rsid w:val="00D63A69"/>
    <w:rsid w:val="00D679AE"/>
    <w:rsid w:val="00D75A0D"/>
    <w:rsid w:val="00D7608A"/>
    <w:rsid w:val="00D80A90"/>
    <w:rsid w:val="00DA3889"/>
    <w:rsid w:val="00DC01CF"/>
    <w:rsid w:val="00DF03B4"/>
    <w:rsid w:val="00DF14EC"/>
    <w:rsid w:val="00E00634"/>
    <w:rsid w:val="00E04E91"/>
    <w:rsid w:val="00E12C3C"/>
    <w:rsid w:val="00E264BB"/>
    <w:rsid w:val="00E40093"/>
    <w:rsid w:val="00E4204A"/>
    <w:rsid w:val="00E479BF"/>
    <w:rsid w:val="00E56C54"/>
    <w:rsid w:val="00E62F95"/>
    <w:rsid w:val="00E907B8"/>
    <w:rsid w:val="00E922FC"/>
    <w:rsid w:val="00EB7CAF"/>
    <w:rsid w:val="00EE289C"/>
    <w:rsid w:val="00EF258B"/>
    <w:rsid w:val="00F007F6"/>
    <w:rsid w:val="00F01D65"/>
    <w:rsid w:val="00F17DB0"/>
    <w:rsid w:val="00F21D96"/>
    <w:rsid w:val="00F3130D"/>
    <w:rsid w:val="00F548A3"/>
    <w:rsid w:val="00F57B09"/>
    <w:rsid w:val="00F8313C"/>
    <w:rsid w:val="00F8453A"/>
    <w:rsid w:val="00FA19B0"/>
    <w:rsid w:val="00FB3334"/>
    <w:rsid w:val="00FD2B24"/>
    <w:rsid w:val="00FD3510"/>
    <w:rsid w:val="00FD6ABC"/>
    <w:rsid w:val="00FE0D75"/>
    <w:rsid w:val="00FE6833"/>
    <w:rsid w:val="00FF14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0"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9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5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4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5F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955F1"/>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B95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55F1"/>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semiHidden/>
    <w:unhideWhenUsed/>
    <w:qFormat/>
    <w:rsid w:val="00B955F1"/>
    <w:pPr>
      <w:outlineLvl w:val="9"/>
    </w:pPr>
    <w:rPr>
      <w:lang w:eastAsia="da-DK"/>
    </w:rPr>
  </w:style>
  <w:style w:type="paragraph" w:styleId="Indholdsfortegnelse1">
    <w:name w:val="toc 1"/>
    <w:basedOn w:val="Normal"/>
    <w:next w:val="Normal"/>
    <w:autoRedefine/>
    <w:uiPriority w:val="39"/>
    <w:unhideWhenUsed/>
    <w:rsid w:val="00BC175A"/>
    <w:pPr>
      <w:tabs>
        <w:tab w:val="right" w:leader="dot" w:pos="7371"/>
      </w:tabs>
      <w:spacing w:after="100" w:line="360" w:lineRule="auto"/>
      <w:ind w:left="142" w:hanging="142"/>
    </w:pPr>
  </w:style>
  <w:style w:type="character" w:styleId="Hyperlink">
    <w:name w:val="Hyperlink"/>
    <w:basedOn w:val="Standardskrifttypeiafsnit"/>
    <w:uiPriority w:val="99"/>
    <w:unhideWhenUsed/>
    <w:rsid w:val="00B955F1"/>
    <w:rPr>
      <w:color w:val="0000FF" w:themeColor="hyperlink"/>
      <w:u w:val="single"/>
    </w:rPr>
  </w:style>
  <w:style w:type="paragraph" w:styleId="Markeringsbobletekst">
    <w:name w:val="Balloon Text"/>
    <w:basedOn w:val="Normal"/>
    <w:link w:val="MarkeringsbobletekstTegn"/>
    <w:uiPriority w:val="99"/>
    <w:semiHidden/>
    <w:unhideWhenUsed/>
    <w:rsid w:val="00B955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F1"/>
    <w:rPr>
      <w:rFonts w:ascii="Tahoma" w:hAnsi="Tahoma" w:cs="Tahoma"/>
      <w:sz w:val="16"/>
      <w:szCs w:val="16"/>
    </w:rPr>
  </w:style>
  <w:style w:type="table" w:styleId="Tabel-Gitter">
    <w:name w:val="Table Grid"/>
    <w:basedOn w:val="Tabel-Normal"/>
    <w:uiPriority w:val="99"/>
    <w:rsid w:val="0013275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32751"/>
    <w:pPr>
      <w:tabs>
        <w:tab w:val="left" w:pos="340"/>
      </w:tabs>
      <w:spacing w:after="0" w:line="280" w:lineRule="atLeast"/>
      <w:ind w:left="720"/>
      <w:contextualSpacing/>
    </w:pPr>
    <w:rPr>
      <w:rFonts w:ascii="Garamond" w:eastAsia="Times New Roman" w:hAnsi="Garamond" w:cs="Times New Roman"/>
      <w:sz w:val="24"/>
      <w:szCs w:val="24"/>
    </w:rPr>
  </w:style>
  <w:style w:type="character" w:styleId="Fodnotehenvisning">
    <w:name w:val="footnote reference"/>
    <w:basedOn w:val="Standardskrifttypeiafsnit"/>
    <w:uiPriority w:val="99"/>
    <w:semiHidden/>
    <w:rsid w:val="00132751"/>
    <w:rPr>
      <w:vertAlign w:val="superscript"/>
    </w:rPr>
  </w:style>
  <w:style w:type="paragraph" w:styleId="Fodnotetekst">
    <w:name w:val="footnote text"/>
    <w:basedOn w:val="Normal"/>
    <w:link w:val="FodnotetekstTegn"/>
    <w:uiPriority w:val="8"/>
    <w:semiHidden/>
    <w:qFormat/>
    <w:rsid w:val="00132751"/>
    <w:pPr>
      <w:tabs>
        <w:tab w:val="left" w:pos="340"/>
      </w:tabs>
      <w:spacing w:after="0" w:line="180" w:lineRule="atLeast"/>
    </w:pPr>
    <w:rPr>
      <w:rFonts w:ascii="Garamond" w:eastAsia="Times New Roman" w:hAnsi="Garamond" w:cs="Times New Roman"/>
      <w:sz w:val="16"/>
      <w:szCs w:val="20"/>
    </w:rPr>
  </w:style>
  <w:style w:type="character" w:customStyle="1" w:styleId="FodnotetekstTegn">
    <w:name w:val="Fodnotetekst Tegn"/>
    <w:basedOn w:val="Standardskrifttypeiafsnit"/>
    <w:link w:val="Fodnotetekst"/>
    <w:uiPriority w:val="8"/>
    <w:semiHidden/>
    <w:rsid w:val="00132751"/>
    <w:rPr>
      <w:rFonts w:ascii="Garamond" w:eastAsia="Times New Roman" w:hAnsi="Garamond" w:cs="Times New Roman"/>
      <w:sz w:val="16"/>
      <w:szCs w:val="20"/>
    </w:rPr>
  </w:style>
  <w:style w:type="character" w:styleId="Kommentarhenvisning">
    <w:name w:val="annotation reference"/>
    <w:basedOn w:val="Standardskrifttypeiafsnit"/>
    <w:uiPriority w:val="99"/>
    <w:semiHidden/>
    <w:unhideWhenUsed/>
    <w:rsid w:val="00BB5145"/>
    <w:rPr>
      <w:sz w:val="16"/>
      <w:szCs w:val="16"/>
    </w:rPr>
  </w:style>
  <w:style w:type="paragraph" w:styleId="Kommentartekst">
    <w:name w:val="annotation text"/>
    <w:basedOn w:val="Normal"/>
    <w:link w:val="KommentartekstTegn"/>
    <w:uiPriority w:val="99"/>
    <w:semiHidden/>
    <w:unhideWhenUsed/>
    <w:rsid w:val="00BB51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5145"/>
    <w:rPr>
      <w:sz w:val="20"/>
      <w:szCs w:val="20"/>
    </w:rPr>
  </w:style>
  <w:style w:type="paragraph" w:styleId="Kommentaremne">
    <w:name w:val="annotation subject"/>
    <w:basedOn w:val="Kommentartekst"/>
    <w:next w:val="Kommentartekst"/>
    <w:link w:val="KommentaremneTegn"/>
    <w:uiPriority w:val="99"/>
    <w:semiHidden/>
    <w:unhideWhenUsed/>
    <w:rsid w:val="00BB5145"/>
    <w:rPr>
      <w:b/>
      <w:bCs/>
    </w:rPr>
  </w:style>
  <w:style w:type="character" w:customStyle="1" w:styleId="KommentaremneTegn">
    <w:name w:val="Kommentaremne Tegn"/>
    <w:basedOn w:val="KommentartekstTegn"/>
    <w:link w:val="Kommentaremne"/>
    <w:uiPriority w:val="99"/>
    <w:semiHidden/>
    <w:rsid w:val="00BB5145"/>
    <w:rPr>
      <w:b/>
      <w:bCs/>
      <w:sz w:val="20"/>
      <w:szCs w:val="20"/>
    </w:rPr>
  </w:style>
  <w:style w:type="character" w:customStyle="1" w:styleId="apple-converted-space">
    <w:name w:val="apple-converted-space"/>
    <w:basedOn w:val="Standardskrifttypeiafsnit"/>
    <w:rsid w:val="00BE642B"/>
  </w:style>
  <w:style w:type="character" w:customStyle="1" w:styleId="normalchar">
    <w:name w:val="normal__char"/>
    <w:basedOn w:val="Standardskrifttypeiafsnit"/>
    <w:rsid w:val="00BE642B"/>
  </w:style>
  <w:style w:type="character" w:customStyle="1" w:styleId="Overskrift3Tegn">
    <w:name w:val="Overskrift 3 Tegn"/>
    <w:basedOn w:val="Standardskrifttypeiafsnit"/>
    <w:link w:val="Overskrift3"/>
    <w:uiPriority w:val="9"/>
    <w:rsid w:val="00224F06"/>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2E79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7981"/>
  </w:style>
  <w:style w:type="paragraph" w:styleId="Sidefod">
    <w:name w:val="footer"/>
    <w:basedOn w:val="Normal"/>
    <w:link w:val="SidefodTegn"/>
    <w:uiPriority w:val="99"/>
    <w:unhideWhenUsed/>
    <w:rsid w:val="002E79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7981"/>
  </w:style>
  <w:style w:type="paragraph" w:styleId="Opstilling-punkttegn">
    <w:name w:val="List Bullet"/>
    <w:basedOn w:val="Normal"/>
    <w:uiPriority w:val="3"/>
    <w:qFormat/>
    <w:rsid w:val="009671BC"/>
    <w:pPr>
      <w:numPr>
        <w:numId w:val="17"/>
      </w:numPr>
      <w:spacing w:after="280" w:line="280" w:lineRule="atLeast"/>
      <w:contextualSpacing/>
    </w:pPr>
    <w:rPr>
      <w:rFonts w:ascii="Garamond" w:eastAsia="Times New Roman" w:hAnsi="Garamond" w:cs="Times New Roman"/>
      <w:sz w:val="24"/>
      <w:szCs w:val="24"/>
      <w:lang w:eastAsia="da-DK"/>
    </w:rPr>
  </w:style>
  <w:style w:type="paragraph" w:styleId="Brdtekstindrykning2">
    <w:name w:val="Body Text Indent 2"/>
    <w:basedOn w:val="Normal"/>
    <w:link w:val="Brdtekstindrykning2Tegn"/>
    <w:uiPriority w:val="99"/>
    <w:semiHidden/>
    <w:rsid w:val="000F7905"/>
    <w:pPr>
      <w:tabs>
        <w:tab w:val="left" w:pos="340"/>
      </w:tabs>
      <w:spacing w:after="120" w:line="480" w:lineRule="auto"/>
      <w:ind w:left="283"/>
    </w:pPr>
    <w:rPr>
      <w:rFonts w:ascii="Garamond" w:eastAsia="Times New Roman" w:hAnsi="Garamond" w:cs="Times New Roman"/>
      <w:sz w:val="24"/>
      <w:szCs w:val="24"/>
    </w:rPr>
  </w:style>
  <w:style w:type="character" w:customStyle="1" w:styleId="Brdtekstindrykning2Tegn">
    <w:name w:val="Brødtekstindrykning 2 Tegn"/>
    <w:basedOn w:val="Standardskrifttypeiafsnit"/>
    <w:link w:val="Brdtekstindrykning2"/>
    <w:uiPriority w:val="99"/>
    <w:semiHidden/>
    <w:rsid w:val="000F7905"/>
    <w:rPr>
      <w:rFonts w:ascii="Garamond" w:eastAsia="Times New Roman" w:hAnsi="Garamond" w:cs="Times New Roman"/>
      <w:sz w:val="24"/>
      <w:szCs w:val="24"/>
    </w:rPr>
  </w:style>
  <w:style w:type="paragraph" w:customStyle="1" w:styleId="Normal1">
    <w:name w:val="Normal1"/>
    <w:basedOn w:val="Normal"/>
    <w:rsid w:val="00CE06B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pace">
    <w:name w:val="Space"/>
    <w:basedOn w:val="Normal"/>
    <w:rsid w:val="00DF03B4"/>
    <w:pPr>
      <w:tabs>
        <w:tab w:val="left" w:pos="340"/>
      </w:tabs>
      <w:spacing w:after="0" w:line="240" w:lineRule="auto"/>
    </w:pPr>
    <w:rPr>
      <w:rFonts w:ascii="Arial" w:eastAsia="Times New Roman" w:hAnsi="Arial" w:cs="Times New Roman"/>
      <w:sz w:val="2"/>
      <w:szCs w:val="24"/>
      <w:lang w:val="en-GB"/>
    </w:rPr>
  </w:style>
  <w:style w:type="paragraph" w:styleId="Billedtekst">
    <w:name w:val="caption"/>
    <w:basedOn w:val="Normal"/>
    <w:next w:val="Normal"/>
    <w:link w:val="BilledtekstTegn"/>
    <w:qFormat/>
    <w:rsid w:val="00DF03B4"/>
    <w:pPr>
      <w:tabs>
        <w:tab w:val="left" w:pos="340"/>
      </w:tabs>
      <w:spacing w:before="170" w:after="0" w:line="230" w:lineRule="atLeast"/>
      <w:ind w:left="170" w:right="170"/>
    </w:pPr>
    <w:rPr>
      <w:rFonts w:ascii="Arial" w:eastAsia="Times New Roman" w:hAnsi="Arial" w:cs="Times New Roman"/>
      <w:b/>
      <w:bCs/>
      <w:color w:val="002661"/>
      <w:sz w:val="15"/>
      <w:szCs w:val="20"/>
    </w:rPr>
  </w:style>
  <w:style w:type="paragraph" w:customStyle="1" w:styleId="Kildeangivelse">
    <w:name w:val="Kildeangivelse"/>
    <w:basedOn w:val="Normal"/>
    <w:next w:val="Normal"/>
    <w:link w:val="KildeangivelseChar"/>
    <w:rsid w:val="00DF03B4"/>
    <w:pPr>
      <w:tabs>
        <w:tab w:val="left" w:pos="652"/>
      </w:tabs>
      <w:spacing w:after="0" w:line="200" w:lineRule="atLeast"/>
      <w:ind w:left="624" w:right="170" w:hanging="454"/>
    </w:pPr>
    <w:rPr>
      <w:rFonts w:ascii="Garamond" w:eastAsia="Times New Roman" w:hAnsi="Garamond" w:cs="Times New Roman"/>
      <w:sz w:val="16"/>
      <w:szCs w:val="24"/>
    </w:rPr>
  </w:style>
  <w:style w:type="paragraph" w:customStyle="1" w:styleId="BoksOverskrift">
    <w:name w:val="Boks Overskrift"/>
    <w:basedOn w:val="Normal"/>
    <w:semiHidden/>
    <w:rsid w:val="00DF03B4"/>
    <w:pPr>
      <w:framePr w:hSpace="141" w:wrap="around" w:vAnchor="text" w:hAnchor="text" w:x="227" w:y="1"/>
      <w:tabs>
        <w:tab w:val="left" w:pos="340"/>
      </w:tabs>
      <w:spacing w:after="210" w:line="210" w:lineRule="atLeast"/>
      <w:ind w:left="170" w:right="170"/>
      <w:suppressOverlap/>
    </w:pPr>
    <w:rPr>
      <w:rFonts w:ascii="Arial" w:eastAsia="Times New Roman" w:hAnsi="Arial" w:cs="Times New Roman"/>
      <w:b/>
      <w:sz w:val="14"/>
      <w:szCs w:val="24"/>
    </w:rPr>
  </w:style>
  <w:style w:type="paragraph" w:customStyle="1" w:styleId="BoksTekst">
    <w:name w:val="Boks Tekst"/>
    <w:basedOn w:val="Normal"/>
    <w:link w:val="BoksTekstTegn"/>
    <w:semiHidden/>
    <w:rsid w:val="00DF03B4"/>
    <w:pPr>
      <w:framePr w:hSpace="142" w:wrap="auto" w:vAnchor="text" w:hAnchor="text" w:x="1" w:y="1"/>
      <w:tabs>
        <w:tab w:val="left" w:pos="340"/>
      </w:tabs>
      <w:spacing w:after="0" w:line="210" w:lineRule="atLeast"/>
      <w:ind w:left="170" w:right="170"/>
      <w:suppressOverlap/>
    </w:pPr>
    <w:rPr>
      <w:rFonts w:ascii="Arial" w:eastAsia="Times New Roman" w:hAnsi="Arial" w:cs="Times New Roman"/>
      <w:sz w:val="14"/>
      <w:szCs w:val="24"/>
    </w:rPr>
  </w:style>
  <w:style w:type="character" w:customStyle="1" w:styleId="KildeangivelseChar">
    <w:name w:val="Kildeangivelse Char"/>
    <w:link w:val="Kildeangivelse"/>
    <w:rsid w:val="00DF03B4"/>
    <w:rPr>
      <w:rFonts w:ascii="Garamond" w:eastAsia="Times New Roman" w:hAnsi="Garamond" w:cs="Times New Roman"/>
      <w:sz w:val="16"/>
      <w:szCs w:val="24"/>
    </w:rPr>
  </w:style>
  <w:style w:type="character" w:customStyle="1" w:styleId="BilledtekstTegn">
    <w:name w:val="Billedtekst Tegn"/>
    <w:link w:val="Billedtekst"/>
    <w:rsid w:val="00DF03B4"/>
    <w:rPr>
      <w:rFonts w:ascii="Arial" w:eastAsia="Times New Roman" w:hAnsi="Arial" w:cs="Times New Roman"/>
      <w:b/>
      <w:bCs/>
      <w:color w:val="002661"/>
      <w:sz w:val="15"/>
      <w:szCs w:val="20"/>
    </w:rPr>
  </w:style>
  <w:style w:type="character" w:customStyle="1" w:styleId="BoksTekstTegn">
    <w:name w:val="Boks Tekst Tegn"/>
    <w:link w:val="BoksTekst"/>
    <w:semiHidden/>
    <w:locked/>
    <w:rsid w:val="00DF03B4"/>
    <w:rPr>
      <w:rFonts w:ascii="Arial" w:eastAsia="Times New Roman" w:hAnsi="Arial" w:cs="Times New Roman"/>
      <w:sz w:val="14"/>
      <w:szCs w:val="24"/>
    </w:rPr>
  </w:style>
  <w:style w:type="paragraph" w:styleId="Korrektur">
    <w:name w:val="Revision"/>
    <w:hidden/>
    <w:uiPriority w:val="99"/>
    <w:semiHidden/>
    <w:rsid w:val="00725798"/>
    <w:pPr>
      <w:spacing w:after="0" w:line="240" w:lineRule="auto"/>
    </w:pPr>
  </w:style>
  <w:style w:type="paragraph" w:styleId="Indholdsfortegnelse3">
    <w:name w:val="toc 3"/>
    <w:basedOn w:val="Normal"/>
    <w:next w:val="Normal"/>
    <w:autoRedefine/>
    <w:uiPriority w:val="39"/>
    <w:unhideWhenUsed/>
    <w:rsid w:val="00BC175A"/>
    <w:pPr>
      <w:tabs>
        <w:tab w:val="right" w:leader="dot" w:pos="7361"/>
      </w:tabs>
      <w:spacing w:after="100" w:line="360" w:lineRule="auto"/>
      <w:ind w:left="284"/>
    </w:pPr>
    <w:rPr>
      <w:rFonts w:ascii="Garamond" w:hAnsi="Garamond"/>
      <w: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0"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9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5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4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5F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955F1"/>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B95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55F1"/>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semiHidden/>
    <w:unhideWhenUsed/>
    <w:qFormat/>
    <w:rsid w:val="00B955F1"/>
    <w:pPr>
      <w:outlineLvl w:val="9"/>
    </w:pPr>
    <w:rPr>
      <w:lang w:eastAsia="da-DK"/>
    </w:rPr>
  </w:style>
  <w:style w:type="paragraph" w:styleId="Indholdsfortegnelse1">
    <w:name w:val="toc 1"/>
    <w:basedOn w:val="Normal"/>
    <w:next w:val="Normal"/>
    <w:autoRedefine/>
    <w:uiPriority w:val="39"/>
    <w:unhideWhenUsed/>
    <w:rsid w:val="00BC175A"/>
    <w:pPr>
      <w:tabs>
        <w:tab w:val="right" w:leader="dot" w:pos="7371"/>
      </w:tabs>
      <w:spacing w:after="100" w:line="360" w:lineRule="auto"/>
      <w:ind w:left="142" w:hanging="142"/>
    </w:pPr>
  </w:style>
  <w:style w:type="character" w:styleId="Hyperlink">
    <w:name w:val="Hyperlink"/>
    <w:basedOn w:val="Standardskrifttypeiafsnit"/>
    <w:uiPriority w:val="99"/>
    <w:unhideWhenUsed/>
    <w:rsid w:val="00B955F1"/>
    <w:rPr>
      <w:color w:val="0000FF" w:themeColor="hyperlink"/>
      <w:u w:val="single"/>
    </w:rPr>
  </w:style>
  <w:style w:type="paragraph" w:styleId="Markeringsbobletekst">
    <w:name w:val="Balloon Text"/>
    <w:basedOn w:val="Normal"/>
    <w:link w:val="MarkeringsbobletekstTegn"/>
    <w:uiPriority w:val="99"/>
    <w:semiHidden/>
    <w:unhideWhenUsed/>
    <w:rsid w:val="00B955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F1"/>
    <w:rPr>
      <w:rFonts w:ascii="Tahoma" w:hAnsi="Tahoma" w:cs="Tahoma"/>
      <w:sz w:val="16"/>
      <w:szCs w:val="16"/>
    </w:rPr>
  </w:style>
  <w:style w:type="table" w:styleId="Tabel-Gitter">
    <w:name w:val="Table Grid"/>
    <w:basedOn w:val="Tabel-Normal"/>
    <w:uiPriority w:val="99"/>
    <w:rsid w:val="0013275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32751"/>
    <w:pPr>
      <w:tabs>
        <w:tab w:val="left" w:pos="340"/>
      </w:tabs>
      <w:spacing w:after="0" w:line="280" w:lineRule="atLeast"/>
      <w:ind w:left="720"/>
      <w:contextualSpacing/>
    </w:pPr>
    <w:rPr>
      <w:rFonts w:ascii="Garamond" w:eastAsia="Times New Roman" w:hAnsi="Garamond" w:cs="Times New Roman"/>
      <w:sz w:val="24"/>
      <w:szCs w:val="24"/>
    </w:rPr>
  </w:style>
  <w:style w:type="character" w:styleId="Fodnotehenvisning">
    <w:name w:val="footnote reference"/>
    <w:basedOn w:val="Standardskrifttypeiafsnit"/>
    <w:uiPriority w:val="99"/>
    <w:semiHidden/>
    <w:rsid w:val="00132751"/>
    <w:rPr>
      <w:vertAlign w:val="superscript"/>
    </w:rPr>
  </w:style>
  <w:style w:type="paragraph" w:styleId="Fodnotetekst">
    <w:name w:val="footnote text"/>
    <w:basedOn w:val="Normal"/>
    <w:link w:val="FodnotetekstTegn"/>
    <w:uiPriority w:val="8"/>
    <w:semiHidden/>
    <w:qFormat/>
    <w:rsid w:val="00132751"/>
    <w:pPr>
      <w:tabs>
        <w:tab w:val="left" w:pos="340"/>
      </w:tabs>
      <w:spacing w:after="0" w:line="180" w:lineRule="atLeast"/>
    </w:pPr>
    <w:rPr>
      <w:rFonts w:ascii="Garamond" w:eastAsia="Times New Roman" w:hAnsi="Garamond" w:cs="Times New Roman"/>
      <w:sz w:val="16"/>
      <w:szCs w:val="20"/>
    </w:rPr>
  </w:style>
  <w:style w:type="character" w:customStyle="1" w:styleId="FodnotetekstTegn">
    <w:name w:val="Fodnotetekst Tegn"/>
    <w:basedOn w:val="Standardskrifttypeiafsnit"/>
    <w:link w:val="Fodnotetekst"/>
    <w:uiPriority w:val="8"/>
    <w:semiHidden/>
    <w:rsid w:val="00132751"/>
    <w:rPr>
      <w:rFonts w:ascii="Garamond" w:eastAsia="Times New Roman" w:hAnsi="Garamond" w:cs="Times New Roman"/>
      <w:sz w:val="16"/>
      <w:szCs w:val="20"/>
    </w:rPr>
  </w:style>
  <w:style w:type="character" w:styleId="Kommentarhenvisning">
    <w:name w:val="annotation reference"/>
    <w:basedOn w:val="Standardskrifttypeiafsnit"/>
    <w:uiPriority w:val="99"/>
    <w:semiHidden/>
    <w:unhideWhenUsed/>
    <w:rsid w:val="00BB5145"/>
    <w:rPr>
      <w:sz w:val="16"/>
      <w:szCs w:val="16"/>
    </w:rPr>
  </w:style>
  <w:style w:type="paragraph" w:styleId="Kommentartekst">
    <w:name w:val="annotation text"/>
    <w:basedOn w:val="Normal"/>
    <w:link w:val="KommentartekstTegn"/>
    <w:uiPriority w:val="99"/>
    <w:semiHidden/>
    <w:unhideWhenUsed/>
    <w:rsid w:val="00BB51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5145"/>
    <w:rPr>
      <w:sz w:val="20"/>
      <w:szCs w:val="20"/>
    </w:rPr>
  </w:style>
  <w:style w:type="paragraph" w:styleId="Kommentaremne">
    <w:name w:val="annotation subject"/>
    <w:basedOn w:val="Kommentartekst"/>
    <w:next w:val="Kommentartekst"/>
    <w:link w:val="KommentaremneTegn"/>
    <w:uiPriority w:val="99"/>
    <w:semiHidden/>
    <w:unhideWhenUsed/>
    <w:rsid w:val="00BB5145"/>
    <w:rPr>
      <w:b/>
      <w:bCs/>
    </w:rPr>
  </w:style>
  <w:style w:type="character" w:customStyle="1" w:styleId="KommentaremneTegn">
    <w:name w:val="Kommentaremne Tegn"/>
    <w:basedOn w:val="KommentartekstTegn"/>
    <w:link w:val="Kommentaremne"/>
    <w:uiPriority w:val="99"/>
    <w:semiHidden/>
    <w:rsid w:val="00BB5145"/>
    <w:rPr>
      <w:b/>
      <w:bCs/>
      <w:sz w:val="20"/>
      <w:szCs w:val="20"/>
    </w:rPr>
  </w:style>
  <w:style w:type="character" w:customStyle="1" w:styleId="apple-converted-space">
    <w:name w:val="apple-converted-space"/>
    <w:basedOn w:val="Standardskrifttypeiafsnit"/>
    <w:rsid w:val="00BE642B"/>
  </w:style>
  <w:style w:type="character" w:customStyle="1" w:styleId="normalchar">
    <w:name w:val="normal__char"/>
    <w:basedOn w:val="Standardskrifttypeiafsnit"/>
    <w:rsid w:val="00BE642B"/>
  </w:style>
  <w:style w:type="character" w:customStyle="1" w:styleId="Overskrift3Tegn">
    <w:name w:val="Overskrift 3 Tegn"/>
    <w:basedOn w:val="Standardskrifttypeiafsnit"/>
    <w:link w:val="Overskrift3"/>
    <w:uiPriority w:val="9"/>
    <w:rsid w:val="00224F06"/>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2E79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7981"/>
  </w:style>
  <w:style w:type="paragraph" w:styleId="Sidefod">
    <w:name w:val="footer"/>
    <w:basedOn w:val="Normal"/>
    <w:link w:val="SidefodTegn"/>
    <w:uiPriority w:val="99"/>
    <w:unhideWhenUsed/>
    <w:rsid w:val="002E79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7981"/>
  </w:style>
  <w:style w:type="paragraph" w:styleId="Opstilling-punkttegn">
    <w:name w:val="List Bullet"/>
    <w:basedOn w:val="Normal"/>
    <w:uiPriority w:val="3"/>
    <w:qFormat/>
    <w:rsid w:val="009671BC"/>
    <w:pPr>
      <w:numPr>
        <w:numId w:val="17"/>
      </w:numPr>
      <w:spacing w:after="280" w:line="280" w:lineRule="atLeast"/>
      <w:contextualSpacing/>
    </w:pPr>
    <w:rPr>
      <w:rFonts w:ascii="Garamond" w:eastAsia="Times New Roman" w:hAnsi="Garamond" w:cs="Times New Roman"/>
      <w:sz w:val="24"/>
      <w:szCs w:val="24"/>
      <w:lang w:eastAsia="da-DK"/>
    </w:rPr>
  </w:style>
  <w:style w:type="paragraph" w:styleId="Brdtekstindrykning2">
    <w:name w:val="Body Text Indent 2"/>
    <w:basedOn w:val="Normal"/>
    <w:link w:val="Brdtekstindrykning2Tegn"/>
    <w:uiPriority w:val="99"/>
    <w:semiHidden/>
    <w:rsid w:val="000F7905"/>
    <w:pPr>
      <w:tabs>
        <w:tab w:val="left" w:pos="340"/>
      </w:tabs>
      <w:spacing w:after="120" w:line="480" w:lineRule="auto"/>
      <w:ind w:left="283"/>
    </w:pPr>
    <w:rPr>
      <w:rFonts w:ascii="Garamond" w:eastAsia="Times New Roman" w:hAnsi="Garamond" w:cs="Times New Roman"/>
      <w:sz w:val="24"/>
      <w:szCs w:val="24"/>
    </w:rPr>
  </w:style>
  <w:style w:type="character" w:customStyle="1" w:styleId="Brdtekstindrykning2Tegn">
    <w:name w:val="Brødtekstindrykning 2 Tegn"/>
    <w:basedOn w:val="Standardskrifttypeiafsnit"/>
    <w:link w:val="Brdtekstindrykning2"/>
    <w:uiPriority w:val="99"/>
    <w:semiHidden/>
    <w:rsid w:val="000F7905"/>
    <w:rPr>
      <w:rFonts w:ascii="Garamond" w:eastAsia="Times New Roman" w:hAnsi="Garamond" w:cs="Times New Roman"/>
      <w:sz w:val="24"/>
      <w:szCs w:val="24"/>
    </w:rPr>
  </w:style>
  <w:style w:type="paragraph" w:customStyle="1" w:styleId="Normal1">
    <w:name w:val="Normal1"/>
    <w:basedOn w:val="Normal"/>
    <w:rsid w:val="00CE06B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pace">
    <w:name w:val="Space"/>
    <w:basedOn w:val="Normal"/>
    <w:rsid w:val="00DF03B4"/>
    <w:pPr>
      <w:tabs>
        <w:tab w:val="left" w:pos="340"/>
      </w:tabs>
      <w:spacing w:after="0" w:line="240" w:lineRule="auto"/>
    </w:pPr>
    <w:rPr>
      <w:rFonts w:ascii="Arial" w:eastAsia="Times New Roman" w:hAnsi="Arial" w:cs="Times New Roman"/>
      <w:sz w:val="2"/>
      <w:szCs w:val="24"/>
      <w:lang w:val="en-GB"/>
    </w:rPr>
  </w:style>
  <w:style w:type="paragraph" w:styleId="Billedtekst">
    <w:name w:val="caption"/>
    <w:basedOn w:val="Normal"/>
    <w:next w:val="Normal"/>
    <w:link w:val="BilledtekstTegn"/>
    <w:qFormat/>
    <w:rsid w:val="00DF03B4"/>
    <w:pPr>
      <w:tabs>
        <w:tab w:val="left" w:pos="340"/>
      </w:tabs>
      <w:spacing w:before="170" w:after="0" w:line="230" w:lineRule="atLeast"/>
      <w:ind w:left="170" w:right="170"/>
    </w:pPr>
    <w:rPr>
      <w:rFonts w:ascii="Arial" w:eastAsia="Times New Roman" w:hAnsi="Arial" w:cs="Times New Roman"/>
      <w:b/>
      <w:bCs/>
      <w:color w:val="002661"/>
      <w:sz w:val="15"/>
      <w:szCs w:val="20"/>
    </w:rPr>
  </w:style>
  <w:style w:type="paragraph" w:customStyle="1" w:styleId="Kildeangivelse">
    <w:name w:val="Kildeangivelse"/>
    <w:basedOn w:val="Normal"/>
    <w:next w:val="Normal"/>
    <w:link w:val="KildeangivelseChar"/>
    <w:rsid w:val="00DF03B4"/>
    <w:pPr>
      <w:tabs>
        <w:tab w:val="left" w:pos="652"/>
      </w:tabs>
      <w:spacing w:after="0" w:line="200" w:lineRule="atLeast"/>
      <w:ind w:left="624" w:right="170" w:hanging="454"/>
    </w:pPr>
    <w:rPr>
      <w:rFonts w:ascii="Garamond" w:eastAsia="Times New Roman" w:hAnsi="Garamond" w:cs="Times New Roman"/>
      <w:sz w:val="16"/>
      <w:szCs w:val="24"/>
    </w:rPr>
  </w:style>
  <w:style w:type="paragraph" w:customStyle="1" w:styleId="BoksOverskrift">
    <w:name w:val="Boks Overskrift"/>
    <w:basedOn w:val="Normal"/>
    <w:semiHidden/>
    <w:rsid w:val="00DF03B4"/>
    <w:pPr>
      <w:framePr w:hSpace="141" w:wrap="around" w:vAnchor="text" w:hAnchor="text" w:x="227" w:y="1"/>
      <w:tabs>
        <w:tab w:val="left" w:pos="340"/>
      </w:tabs>
      <w:spacing w:after="210" w:line="210" w:lineRule="atLeast"/>
      <w:ind w:left="170" w:right="170"/>
      <w:suppressOverlap/>
    </w:pPr>
    <w:rPr>
      <w:rFonts w:ascii="Arial" w:eastAsia="Times New Roman" w:hAnsi="Arial" w:cs="Times New Roman"/>
      <w:b/>
      <w:sz w:val="14"/>
      <w:szCs w:val="24"/>
    </w:rPr>
  </w:style>
  <w:style w:type="paragraph" w:customStyle="1" w:styleId="BoksTekst">
    <w:name w:val="Boks Tekst"/>
    <w:basedOn w:val="Normal"/>
    <w:link w:val="BoksTekstTegn"/>
    <w:semiHidden/>
    <w:rsid w:val="00DF03B4"/>
    <w:pPr>
      <w:framePr w:hSpace="142" w:wrap="auto" w:vAnchor="text" w:hAnchor="text" w:x="1" w:y="1"/>
      <w:tabs>
        <w:tab w:val="left" w:pos="340"/>
      </w:tabs>
      <w:spacing w:after="0" w:line="210" w:lineRule="atLeast"/>
      <w:ind w:left="170" w:right="170"/>
      <w:suppressOverlap/>
    </w:pPr>
    <w:rPr>
      <w:rFonts w:ascii="Arial" w:eastAsia="Times New Roman" w:hAnsi="Arial" w:cs="Times New Roman"/>
      <w:sz w:val="14"/>
      <w:szCs w:val="24"/>
    </w:rPr>
  </w:style>
  <w:style w:type="character" w:customStyle="1" w:styleId="KildeangivelseChar">
    <w:name w:val="Kildeangivelse Char"/>
    <w:link w:val="Kildeangivelse"/>
    <w:rsid w:val="00DF03B4"/>
    <w:rPr>
      <w:rFonts w:ascii="Garamond" w:eastAsia="Times New Roman" w:hAnsi="Garamond" w:cs="Times New Roman"/>
      <w:sz w:val="16"/>
      <w:szCs w:val="24"/>
    </w:rPr>
  </w:style>
  <w:style w:type="character" w:customStyle="1" w:styleId="BilledtekstTegn">
    <w:name w:val="Billedtekst Tegn"/>
    <w:link w:val="Billedtekst"/>
    <w:rsid w:val="00DF03B4"/>
    <w:rPr>
      <w:rFonts w:ascii="Arial" w:eastAsia="Times New Roman" w:hAnsi="Arial" w:cs="Times New Roman"/>
      <w:b/>
      <w:bCs/>
      <w:color w:val="002661"/>
      <w:sz w:val="15"/>
      <w:szCs w:val="20"/>
    </w:rPr>
  </w:style>
  <w:style w:type="character" w:customStyle="1" w:styleId="BoksTekstTegn">
    <w:name w:val="Boks Tekst Tegn"/>
    <w:link w:val="BoksTekst"/>
    <w:semiHidden/>
    <w:locked/>
    <w:rsid w:val="00DF03B4"/>
    <w:rPr>
      <w:rFonts w:ascii="Arial" w:eastAsia="Times New Roman" w:hAnsi="Arial" w:cs="Times New Roman"/>
      <w:sz w:val="14"/>
      <w:szCs w:val="24"/>
    </w:rPr>
  </w:style>
  <w:style w:type="paragraph" w:styleId="Korrektur">
    <w:name w:val="Revision"/>
    <w:hidden/>
    <w:uiPriority w:val="99"/>
    <w:semiHidden/>
    <w:rsid w:val="00725798"/>
    <w:pPr>
      <w:spacing w:after="0" w:line="240" w:lineRule="auto"/>
    </w:pPr>
  </w:style>
  <w:style w:type="paragraph" w:styleId="Indholdsfortegnelse3">
    <w:name w:val="toc 3"/>
    <w:basedOn w:val="Normal"/>
    <w:next w:val="Normal"/>
    <w:autoRedefine/>
    <w:uiPriority w:val="39"/>
    <w:unhideWhenUsed/>
    <w:rsid w:val="00BC175A"/>
    <w:pPr>
      <w:tabs>
        <w:tab w:val="right" w:leader="dot" w:pos="7361"/>
      </w:tabs>
      <w:spacing w:after="100" w:line="360" w:lineRule="auto"/>
      <w:ind w:left="284"/>
    </w:pPr>
    <w:rPr>
      <w:rFonts w:ascii="Garamond" w:hAnsi="Garamond"/>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467">
      <w:bodyDiv w:val="1"/>
      <w:marLeft w:val="0"/>
      <w:marRight w:val="0"/>
      <w:marTop w:val="0"/>
      <w:marBottom w:val="0"/>
      <w:divBdr>
        <w:top w:val="none" w:sz="0" w:space="0" w:color="auto"/>
        <w:left w:val="none" w:sz="0" w:space="0" w:color="auto"/>
        <w:bottom w:val="none" w:sz="0" w:space="0" w:color="auto"/>
        <w:right w:val="none" w:sz="0" w:space="0" w:color="auto"/>
      </w:divBdr>
      <w:divsChild>
        <w:div w:id="1412003475">
          <w:marLeft w:val="274"/>
          <w:marRight w:val="0"/>
          <w:marTop w:val="0"/>
          <w:marBottom w:val="0"/>
          <w:divBdr>
            <w:top w:val="none" w:sz="0" w:space="0" w:color="auto"/>
            <w:left w:val="none" w:sz="0" w:space="0" w:color="auto"/>
            <w:bottom w:val="none" w:sz="0" w:space="0" w:color="auto"/>
            <w:right w:val="none" w:sz="0" w:space="0" w:color="auto"/>
          </w:divBdr>
        </w:div>
      </w:divsChild>
    </w:div>
    <w:div w:id="78992846">
      <w:bodyDiv w:val="1"/>
      <w:marLeft w:val="0"/>
      <w:marRight w:val="0"/>
      <w:marTop w:val="0"/>
      <w:marBottom w:val="0"/>
      <w:divBdr>
        <w:top w:val="none" w:sz="0" w:space="0" w:color="auto"/>
        <w:left w:val="none" w:sz="0" w:space="0" w:color="auto"/>
        <w:bottom w:val="none" w:sz="0" w:space="0" w:color="auto"/>
        <w:right w:val="none" w:sz="0" w:space="0" w:color="auto"/>
      </w:divBdr>
    </w:div>
    <w:div w:id="120998936">
      <w:bodyDiv w:val="1"/>
      <w:marLeft w:val="0"/>
      <w:marRight w:val="0"/>
      <w:marTop w:val="0"/>
      <w:marBottom w:val="0"/>
      <w:divBdr>
        <w:top w:val="none" w:sz="0" w:space="0" w:color="auto"/>
        <w:left w:val="none" w:sz="0" w:space="0" w:color="auto"/>
        <w:bottom w:val="none" w:sz="0" w:space="0" w:color="auto"/>
        <w:right w:val="none" w:sz="0" w:space="0" w:color="auto"/>
      </w:divBdr>
      <w:divsChild>
        <w:div w:id="1938365145">
          <w:marLeft w:val="274"/>
          <w:marRight w:val="0"/>
          <w:marTop w:val="0"/>
          <w:marBottom w:val="0"/>
          <w:divBdr>
            <w:top w:val="none" w:sz="0" w:space="0" w:color="auto"/>
            <w:left w:val="none" w:sz="0" w:space="0" w:color="auto"/>
            <w:bottom w:val="none" w:sz="0" w:space="0" w:color="auto"/>
            <w:right w:val="none" w:sz="0" w:space="0" w:color="auto"/>
          </w:divBdr>
        </w:div>
      </w:divsChild>
    </w:div>
    <w:div w:id="203757749">
      <w:bodyDiv w:val="1"/>
      <w:marLeft w:val="0"/>
      <w:marRight w:val="0"/>
      <w:marTop w:val="0"/>
      <w:marBottom w:val="0"/>
      <w:divBdr>
        <w:top w:val="none" w:sz="0" w:space="0" w:color="auto"/>
        <w:left w:val="none" w:sz="0" w:space="0" w:color="auto"/>
        <w:bottom w:val="none" w:sz="0" w:space="0" w:color="auto"/>
        <w:right w:val="none" w:sz="0" w:space="0" w:color="auto"/>
      </w:divBdr>
    </w:div>
    <w:div w:id="212544111">
      <w:bodyDiv w:val="1"/>
      <w:marLeft w:val="0"/>
      <w:marRight w:val="0"/>
      <w:marTop w:val="0"/>
      <w:marBottom w:val="0"/>
      <w:divBdr>
        <w:top w:val="none" w:sz="0" w:space="0" w:color="auto"/>
        <w:left w:val="none" w:sz="0" w:space="0" w:color="auto"/>
        <w:bottom w:val="none" w:sz="0" w:space="0" w:color="auto"/>
        <w:right w:val="none" w:sz="0" w:space="0" w:color="auto"/>
      </w:divBdr>
    </w:div>
    <w:div w:id="252666637">
      <w:bodyDiv w:val="1"/>
      <w:marLeft w:val="0"/>
      <w:marRight w:val="0"/>
      <w:marTop w:val="0"/>
      <w:marBottom w:val="0"/>
      <w:divBdr>
        <w:top w:val="none" w:sz="0" w:space="0" w:color="auto"/>
        <w:left w:val="none" w:sz="0" w:space="0" w:color="auto"/>
        <w:bottom w:val="none" w:sz="0" w:space="0" w:color="auto"/>
        <w:right w:val="none" w:sz="0" w:space="0" w:color="auto"/>
      </w:divBdr>
      <w:divsChild>
        <w:div w:id="1138497188">
          <w:marLeft w:val="274"/>
          <w:marRight w:val="0"/>
          <w:marTop w:val="0"/>
          <w:marBottom w:val="0"/>
          <w:divBdr>
            <w:top w:val="none" w:sz="0" w:space="0" w:color="auto"/>
            <w:left w:val="none" w:sz="0" w:space="0" w:color="auto"/>
            <w:bottom w:val="none" w:sz="0" w:space="0" w:color="auto"/>
            <w:right w:val="none" w:sz="0" w:space="0" w:color="auto"/>
          </w:divBdr>
        </w:div>
      </w:divsChild>
    </w:div>
    <w:div w:id="317811101">
      <w:bodyDiv w:val="1"/>
      <w:marLeft w:val="0"/>
      <w:marRight w:val="0"/>
      <w:marTop w:val="0"/>
      <w:marBottom w:val="0"/>
      <w:divBdr>
        <w:top w:val="none" w:sz="0" w:space="0" w:color="auto"/>
        <w:left w:val="none" w:sz="0" w:space="0" w:color="auto"/>
        <w:bottom w:val="none" w:sz="0" w:space="0" w:color="auto"/>
        <w:right w:val="none" w:sz="0" w:space="0" w:color="auto"/>
      </w:divBdr>
    </w:div>
    <w:div w:id="339351260">
      <w:bodyDiv w:val="1"/>
      <w:marLeft w:val="0"/>
      <w:marRight w:val="0"/>
      <w:marTop w:val="0"/>
      <w:marBottom w:val="0"/>
      <w:divBdr>
        <w:top w:val="none" w:sz="0" w:space="0" w:color="auto"/>
        <w:left w:val="none" w:sz="0" w:space="0" w:color="auto"/>
        <w:bottom w:val="none" w:sz="0" w:space="0" w:color="auto"/>
        <w:right w:val="none" w:sz="0" w:space="0" w:color="auto"/>
      </w:divBdr>
      <w:divsChild>
        <w:div w:id="1834953541">
          <w:marLeft w:val="274"/>
          <w:marRight w:val="0"/>
          <w:marTop w:val="0"/>
          <w:marBottom w:val="0"/>
          <w:divBdr>
            <w:top w:val="none" w:sz="0" w:space="0" w:color="auto"/>
            <w:left w:val="none" w:sz="0" w:space="0" w:color="auto"/>
            <w:bottom w:val="none" w:sz="0" w:space="0" w:color="auto"/>
            <w:right w:val="none" w:sz="0" w:space="0" w:color="auto"/>
          </w:divBdr>
        </w:div>
        <w:div w:id="2085948387">
          <w:marLeft w:val="274"/>
          <w:marRight w:val="0"/>
          <w:marTop w:val="0"/>
          <w:marBottom w:val="0"/>
          <w:divBdr>
            <w:top w:val="none" w:sz="0" w:space="0" w:color="auto"/>
            <w:left w:val="none" w:sz="0" w:space="0" w:color="auto"/>
            <w:bottom w:val="none" w:sz="0" w:space="0" w:color="auto"/>
            <w:right w:val="none" w:sz="0" w:space="0" w:color="auto"/>
          </w:divBdr>
        </w:div>
      </w:divsChild>
    </w:div>
    <w:div w:id="484129559">
      <w:bodyDiv w:val="1"/>
      <w:marLeft w:val="0"/>
      <w:marRight w:val="0"/>
      <w:marTop w:val="0"/>
      <w:marBottom w:val="0"/>
      <w:divBdr>
        <w:top w:val="none" w:sz="0" w:space="0" w:color="auto"/>
        <w:left w:val="none" w:sz="0" w:space="0" w:color="auto"/>
        <w:bottom w:val="none" w:sz="0" w:space="0" w:color="auto"/>
        <w:right w:val="none" w:sz="0" w:space="0" w:color="auto"/>
      </w:divBdr>
      <w:divsChild>
        <w:div w:id="20010933">
          <w:marLeft w:val="274"/>
          <w:marRight w:val="0"/>
          <w:marTop w:val="0"/>
          <w:marBottom w:val="0"/>
          <w:divBdr>
            <w:top w:val="none" w:sz="0" w:space="0" w:color="auto"/>
            <w:left w:val="none" w:sz="0" w:space="0" w:color="auto"/>
            <w:bottom w:val="none" w:sz="0" w:space="0" w:color="auto"/>
            <w:right w:val="none" w:sz="0" w:space="0" w:color="auto"/>
          </w:divBdr>
        </w:div>
        <w:div w:id="938607156">
          <w:marLeft w:val="274"/>
          <w:marRight w:val="0"/>
          <w:marTop w:val="0"/>
          <w:marBottom w:val="0"/>
          <w:divBdr>
            <w:top w:val="none" w:sz="0" w:space="0" w:color="auto"/>
            <w:left w:val="none" w:sz="0" w:space="0" w:color="auto"/>
            <w:bottom w:val="none" w:sz="0" w:space="0" w:color="auto"/>
            <w:right w:val="none" w:sz="0" w:space="0" w:color="auto"/>
          </w:divBdr>
        </w:div>
        <w:div w:id="1727990423">
          <w:marLeft w:val="274"/>
          <w:marRight w:val="0"/>
          <w:marTop w:val="0"/>
          <w:marBottom w:val="0"/>
          <w:divBdr>
            <w:top w:val="none" w:sz="0" w:space="0" w:color="auto"/>
            <w:left w:val="none" w:sz="0" w:space="0" w:color="auto"/>
            <w:bottom w:val="none" w:sz="0" w:space="0" w:color="auto"/>
            <w:right w:val="none" w:sz="0" w:space="0" w:color="auto"/>
          </w:divBdr>
        </w:div>
      </w:divsChild>
    </w:div>
    <w:div w:id="987901179">
      <w:bodyDiv w:val="1"/>
      <w:marLeft w:val="0"/>
      <w:marRight w:val="0"/>
      <w:marTop w:val="0"/>
      <w:marBottom w:val="0"/>
      <w:divBdr>
        <w:top w:val="none" w:sz="0" w:space="0" w:color="auto"/>
        <w:left w:val="none" w:sz="0" w:space="0" w:color="auto"/>
        <w:bottom w:val="none" w:sz="0" w:space="0" w:color="auto"/>
        <w:right w:val="none" w:sz="0" w:space="0" w:color="auto"/>
      </w:divBdr>
    </w:div>
    <w:div w:id="1044056951">
      <w:bodyDiv w:val="1"/>
      <w:marLeft w:val="0"/>
      <w:marRight w:val="0"/>
      <w:marTop w:val="0"/>
      <w:marBottom w:val="0"/>
      <w:divBdr>
        <w:top w:val="none" w:sz="0" w:space="0" w:color="auto"/>
        <w:left w:val="none" w:sz="0" w:space="0" w:color="auto"/>
        <w:bottom w:val="none" w:sz="0" w:space="0" w:color="auto"/>
        <w:right w:val="none" w:sz="0" w:space="0" w:color="auto"/>
      </w:divBdr>
      <w:divsChild>
        <w:div w:id="1608073299">
          <w:marLeft w:val="274"/>
          <w:marRight w:val="0"/>
          <w:marTop w:val="0"/>
          <w:marBottom w:val="0"/>
          <w:divBdr>
            <w:top w:val="none" w:sz="0" w:space="0" w:color="auto"/>
            <w:left w:val="none" w:sz="0" w:space="0" w:color="auto"/>
            <w:bottom w:val="none" w:sz="0" w:space="0" w:color="auto"/>
            <w:right w:val="none" w:sz="0" w:space="0" w:color="auto"/>
          </w:divBdr>
        </w:div>
      </w:divsChild>
    </w:div>
    <w:div w:id="1356881537">
      <w:bodyDiv w:val="1"/>
      <w:marLeft w:val="0"/>
      <w:marRight w:val="0"/>
      <w:marTop w:val="0"/>
      <w:marBottom w:val="0"/>
      <w:divBdr>
        <w:top w:val="none" w:sz="0" w:space="0" w:color="auto"/>
        <w:left w:val="none" w:sz="0" w:space="0" w:color="auto"/>
        <w:bottom w:val="none" w:sz="0" w:space="0" w:color="auto"/>
        <w:right w:val="none" w:sz="0" w:space="0" w:color="auto"/>
      </w:divBdr>
    </w:div>
    <w:div w:id="1405759642">
      <w:bodyDiv w:val="1"/>
      <w:marLeft w:val="0"/>
      <w:marRight w:val="0"/>
      <w:marTop w:val="0"/>
      <w:marBottom w:val="0"/>
      <w:divBdr>
        <w:top w:val="none" w:sz="0" w:space="0" w:color="auto"/>
        <w:left w:val="none" w:sz="0" w:space="0" w:color="auto"/>
        <w:bottom w:val="none" w:sz="0" w:space="0" w:color="auto"/>
        <w:right w:val="none" w:sz="0" w:space="0" w:color="auto"/>
      </w:divBdr>
      <w:divsChild>
        <w:div w:id="1669363405">
          <w:marLeft w:val="274"/>
          <w:marRight w:val="0"/>
          <w:marTop w:val="0"/>
          <w:marBottom w:val="0"/>
          <w:divBdr>
            <w:top w:val="none" w:sz="0" w:space="0" w:color="auto"/>
            <w:left w:val="none" w:sz="0" w:space="0" w:color="auto"/>
            <w:bottom w:val="none" w:sz="0" w:space="0" w:color="auto"/>
            <w:right w:val="none" w:sz="0" w:space="0" w:color="auto"/>
          </w:divBdr>
        </w:div>
      </w:divsChild>
    </w:div>
    <w:div w:id="1562473299">
      <w:bodyDiv w:val="1"/>
      <w:marLeft w:val="0"/>
      <w:marRight w:val="0"/>
      <w:marTop w:val="0"/>
      <w:marBottom w:val="0"/>
      <w:divBdr>
        <w:top w:val="none" w:sz="0" w:space="0" w:color="auto"/>
        <w:left w:val="none" w:sz="0" w:space="0" w:color="auto"/>
        <w:bottom w:val="none" w:sz="0" w:space="0" w:color="auto"/>
        <w:right w:val="none" w:sz="0" w:space="0" w:color="auto"/>
      </w:divBdr>
    </w:div>
    <w:div w:id="1612279137">
      <w:bodyDiv w:val="1"/>
      <w:marLeft w:val="0"/>
      <w:marRight w:val="0"/>
      <w:marTop w:val="0"/>
      <w:marBottom w:val="0"/>
      <w:divBdr>
        <w:top w:val="none" w:sz="0" w:space="0" w:color="auto"/>
        <w:left w:val="none" w:sz="0" w:space="0" w:color="auto"/>
        <w:bottom w:val="none" w:sz="0" w:space="0" w:color="auto"/>
        <w:right w:val="none" w:sz="0" w:space="0" w:color="auto"/>
      </w:divBdr>
    </w:div>
    <w:div w:id="1795520718">
      <w:bodyDiv w:val="1"/>
      <w:marLeft w:val="0"/>
      <w:marRight w:val="0"/>
      <w:marTop w:val="0"/>
      <w:marBottom w:val="0"/>
      <w:divBdr>
        <w:top w:val="none" w:sz="0" w:space="0" w:color="auto"/>
        <w:left w:val="none" w:sz="0" w:space="0" w:color="auto"/>
        <w:bottom w:val="none" w:sz="0" w:space="0" w:color="auto"/>
        <w:right w:val="none" w:sz="0" w:space="0" w:color="auto"/>
      </w:divBdr>
      <w:divsChild>
        <w:div w:id="420487493">
          <w:marLeft w:val="274"/>
          <w:marRight w:val="0"/>
          <w:marTop w:val="0"/>
          <w:marBottom w:val="0"/>
          <w:divBdr>
            <w:top w:val="none" w:sz="0" w:space="0" w:color="auto"/>
            <w:left w:val="none" w:sz="0" w:space="0" w:color="auto"/>
            <w:bottom w:val="none" w:sz="0" w:space="0" w:color="auto"/>
            <w:right w:val="none" w:sz="0" w:space="0" w:color="auto"/>
          </w:divBdr>
        </w:div>
        <w:div w:id="15446340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8.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emf"/><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psgc\AppData\Local\Microsoft\Windows\Temporary%20Internet%20Files\Content.Outlook\8MZKXGGN\Antal%20reg%20udskr%20bes%20og%20befolkni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psgc\AppData\Local\Microsoft\Windows\Temporary%20Internet%20Files\Content.Outlook\8MZKXGGN\Mappe1%20(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psgc\AppData\Local\Microsoft\Windows\Temporary%20Internet%20Files\Content.Outlook\8MZKXGGN\Mappe1%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psgc\AppData\Local\Microsoft\Windows\Temporary%20Internet%20Files\Content.Outlook\8MZKXGGN\Population%20og%20aktivitet%20-%20borgere%2065+%20&#229;r%20vs.%20D&#198;MP-borgere_afrundet%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psgc\AppData\Local\Microsoft\Windows\Temporary%20Internet%20Files\Content.Outlook\8MZKXGGN\Population%20og%20aktivitet%20-%20borgere%2065+%20&#229;r%20vs.%20D&#198;MP-borgere_afrundet%20(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psgc\Desktop\Kopi%20af%205%20&#229;rs%20aldersgr%20for%204%20modeller%20(2).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summha\AppData\Local\Microsoft\Windows\Temporary%20Internet%20Files\Content.Outlook\L3CR4YAA\4%20modeller%20fordelt%20p&#229;%20aldersgr%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960649310611605E-2"/>
          <c:y val="0.27127490927194831"/>
          <c:w val="0.82198752489108029"/>
          <c:h val="0.54592215074613182"/>
        </c:manualLayout>
      </c:layout>
      <c:lineChart>
        <c:grouping val="standard"/>
        <c:varyColors val="0"/>
        <c:ser>
          <c:idx val="2"/>
          <c:order val="0"/>
          <c:tx>
            <c:v>Ambulante besøg</c:v>
          </c:tx>
          <c:spPr>
            <a:ln w="28575" cap="rnd" cmpd="sng" algn="ctr">
              <a:solidFill>
                <a:srgbClr val="B0DB85"/>
              </a:solidFill>
              <a:prstDash val="solid"/>
              <a:round/>
            </a:ln>
            <a:effectLst/>
          </c:spPr>
          <c:marker>
            <c:symbol val="none"/>
          </c:marker>
          <c:val>
            <c:numRef>
              <c:f>'Table 1 - Data Set WORK.FLET'!$C$4:$C$99</c:f>
              <c:numCache>
                <c:formatCode>General</c:formatCode>
                <c:ptCount val="96"/>
                <c:pt idx="0">
                  <c:v>3.0630365979471579</c:v>
                </c:pt>
                <c:pt idx="1">
                  <c:v>1.206653848189243</c:v>
                </c:pt>
                <c:pt idx="2">
                  <c:v>0.86668825193415355</c:v>
                </c:pt>
                <c:pt idx="3">
                  <c:v>0.83283597103004292</c:v>
                </c:pt>
                <c:pt idx="4">
                  <c:v>0.76901318925790563</c:v>
                </c:pt>
                <c:pt idx="5">
                  <c:v>0.76274205684976737</c:v>
                </c:pt>
                <c:pt idx="6">
                  <c:v>0.75988216550936361</c:v>
                </c:pt>
                <c:pt idx="7">
                  <c:v>0.78254263796827284</c:v>
                </c:pt>
                <c:pt idx="8">
                  <c:v>0.82411302604001746</c:v>
                </c:pt>
                <c:pt idx="9">
                  <c:v>0.84857142857142853</c:v>
                </c:pt>
                <c:pt idx="10">
                  <c:v>0.88795888620073027</c:v>
                </c:pt>
                <c:pt idx="11">
                  <c:v>0.92697580343096864</c:v>
                </c:pt>
                <c:pt idx="12">
                  <c:v>0.95177754311862017</c:v>
                </c:pt>
                <c:pt idx="13">
                  <c:v>0.95000758610226066</c:v>
                </c:pt>
                <c:pt idx="14">
                  <c:v>0.97209896858746436</c:v>
                </c:pt>
                <c:pt idx="15">
                  <c:v>1.0026226337689739</c:v>
                </c:pt>
                <c:pt idx="16">
                  <c:v>0.98393417494541091</c:v>
                </c:pt>
                <c:pt idx="17">
                  <c:v>1.0381530488958761</c:v>
                </c:pt>
                <c:pt idx="18">
                  <c:v>1.0755907494718582</c:v>
                </c:pt>
                <c:pt idx="19">
                  <c:v>1.1023360052797293</c:v>
                </c:pt>
                <c:pt idx="20">
                  <c:v>1.1516932035778926</c:v>
                </c:pt>
                <c:pt idx="21">
                  <c:v>1.2456752454231892</c:v>
                </c:pt>
                <c:pt idx="22">
                  <c:v>1.3316473323961795</c:v>
                </c:pt>
                <c:pt idx="23">
                  <c:v>1.4520347872269801</c:v>
                </c:pt>
                <c:pt idx="24">
                  <c:v>1.5836565573661985</c:v>
                </c:pt>
                <c:pt idx="25">
                  <c:v>1.7515914157556876</c:v>
                </c:pt>
                <c:pt idx="26">
                  <c:v>1.9063287999669298</c:v>
                </c:pt>
                <c:pt idx="27">
                  <c:v>2.0445029172863518</c:v>
                </c:pt>
                <c:pt idx="28">
                  <c:v>2.1778534724951597</c:v>
                </c:pt>
                <c:pt idx="29">
                  <c:v>2.2709596860506598</c:v>
                </c:pt>
                <c:pt idx="30">
                  <c:v>2.3103315283627222</c:v>
                </c:pt>
                <c:pt idx="31">
                  <c:v>2.3076257997579113</c:v>
                </c:pt>
                <c:pt idx="32">
                  <c:v>2.2825723431701994</c:v>
                </c:pt>
                <c:pt idx="33">
                  <c:v>2.1668716431851793</c:v>
                </c:pt>
                <c:pt idx="34">
                  <c:v>2.1727473956317818</c:v>
                </c:pt>
                <c:pt idx="35">
                  <c:v>2.0686815606376419</c:v>
                </c:pt>
                <c:pt idx="36">
                  <c:v>1.9917711485804872</c:v>
                </c:pt>
                <c:pt idx="37">
                  <c:v>1.9478294199483264</c:v>
                </c:pt>
                <c:pt idx="38">
                  <c:v>1.9267472546182003</c:v>
                </c:pt>
                <c:pt idx="39">
                  <c:v>1.8722714870395634</c:v>
                </c:pt>
                <c:pt idx="40">
                  <c:v>1.7366292537466246</c:v>
                </c:pt>
                <c:pt idx="41">
                  <c:v>1.7344975889482601</c:v>
                </c:pt>
                <c:pt idx="42">
                  <c:v>1.7022633455595741</c:v>
                </c:pt>
                <c:pt idx="43">
                  <c:v>1.7338920772246322</c:v>
                </c:pt>
                <c:pt idx="44">
                  <c:v>1.7851605330031088</c:v>
                </c:pt>
                <c:pt idx="45">
                  <c:v>1.8459537994082291</c:v>
                </c:pt>
                <c:pt idx="46">
                  <c:v>1.9386793687351147</c:v>
                </c:pt>
                <c:pt idx="47">
                  <c:v>1.9605355797378921</c:v>
                </c:pt>
                <c:pt idx="48">
                  <c:v>1.9734582801967571</c:v>
                </c:pt>
                <c:pt idx="49">
                  <c:v>2.0055011115648109</c:v>
                </c:pt>
                <c:pt idx="50">
                  <c:v>2.3986609289072853</c:v>
                </c:pt>
                <c:pt idx="51">
                  <c:v>2.3705277817797628</c:v>
                </c:pt>
                <c:pt idx="52">
                  <c:v>2.4825484207483379</c:v>
                </c:pt>
                <c:pt idx="53">
                  <c:v>2.4704913141063067</c:v>
                </c:pt>
                <c:pt idx="54">
                  <c:v>2.6235920567981639</c:v>
                </c:pt>
                <c:pt idx="55">
                  <c:v>2.6557997758276608</c:v>
                </c:pt>
                <c:pt idx="56">
                  <c:v>2.8007019514249616</c:v>
                </c:pt>
                <c:pt idx="57">
                  <c:v>2.8478227548247754</c:v>
                </c:pt>
                <c:pt idx="58">
                  <c:v>2.9218549761297865</c:v>
                </c:pt>
                <c:pt idx="59">
                  <c:v>3.0164499071030439</c:v>
                </c:pt>
                <c:pt idx="60">
                  <c:v>3.1273070774596716</c:v>
                </c:pt>
                <c:pt idx="61">
                  <c:v>3.2499373091617128</c:v>
                </c:pt>
                <c:pt idx="62">
                  <c:v>3.3683972582762141</c:v>
                </c:pt>
                <c:pt idx="63">
                  <c:v>3.5413691661814726</c:v>
                </c:pt>
                <c:pt idx="64">
                  <c:v>3.6474543853790338</c:v>
                </c:pt>
                <c:pt idx="65">
                  <c:v>3.7311684014198905</c:v>
                </c:pt>
                <c:pt idx="66">
                  <c:v>3.8954476343797513</c:v>
                </c:pt>
                <c:pt idx="67">
                  <c:v>4.0562101658825727</c:v>
                </c:pt>
                <c:pt idx="68">
                  <c:v>4.0466749559347974</c:v>
                </c:pt>
                <c:pt idx="69">
                  <c:v>4.1012306252236872</c:v>
                </c:pt>
                <c:pt idx="70">
                  <c:v>3.9573984747237834</c:v>
                </c:pt>
                <c:pt idx="71">
                  <c:v>4.0803469783699713</c:v>
                </c:pt>
                <c:pt idx="72">
                  <c:v>4.2711095418836615</c:v>
                </c:pt>
                <c:pt idx="73">
                  <c:v>4.3564960629921261</c:v>
                </c:pt>
                <c:pt idx="74">
                  <c:v>4.5882068632189466</c:v>
                </c:pt>
                <c:pt idx="75">
                  <c:v>4.7302404708262449</c:v>
                </c:pt>
                <c:pt idx="76">
                  <c:v>4.6651348947524456</c:v>
                </c:pt>
                <c:pt idx="77">
                  <c:v>4.6596604898276528</c:v>
                </c:pt>
                <c:pt idx="78">
                  <c:v>4.6373759585024805</c:v>
                </c:pt>
                <c:pt idx="79">
                  <c:v>4.6247408003466308</c:v>
                </c:pt>
                <c:pt idx="80">
                  <c:v>4.5030087067603457</c:v>
                </c:pt>
                <c:pt idx="81">
                  <c:v>4.3831011730205276</c:v>
                </c:pt>
                <c:pt idx="82">
                  <c:v>4.4982437290797144</c:v>
                </c:pt>
                <c:pt idx="83">
                  <c:v>4.4082179544439484</c:v>
                </c:pt>
                <c:pt idx="84">
                  <c:v>4.2534088112232338</c:v>
                </c:pt>
                <c:pt idx="85">
                  <c:v>4.0264770240700223</c:v>
                </c:pt>
                <c:pt idx="86">
                  <c:v>3.8480563280279272</c:v>
                </c:pt>
                <c:pt idx="87">
                  <c:v>3.5984827959902463</c:v>
                </c:pt>
                <c:pt idx="88">
                  <c:v>3.4701300665456745</c:v>
                </c:pt>
                <c:pt idx="89">
                  <c:v>3.1792313698273618</c:v>
                </c:pt>
                <c:pt idx="90">
                  <c:v>2.7850199529315462</c:v>
                </c:pt>
                <c:pt idx="91">
                  <c:v>2.6375062220009955</c:v>
                </c:pt>
                <c:pt idx="92">
                  <c:v>2.6262610585131152</c:v>
                </c:pt>
                <c:pt idx="93">
                  <c:v>2.4867837159945978</c:v>
                </c:pt>
                <c:pt idx="94">
                  <c:v>2.2095238095238097</c:v>
                </c:pt>
                <c:pt idx="95">
                  <c:v>1.8269888793840889</c:v>
                </c:pt>
              </c:numCache>
            </c:numRef>
          </c:val>
          <c:smooth val="0"/>
        </c:ser>
        <c:dLbls>
          <c:showLegendKey val="0"/>
          <c:showVal val="0"/>
          <c:showCatName val="0"/>
          <c:showSerName val="0"/>
          <c:showPercent val="0"/>
          <c:showBubbleSize val="0"/>
        </c:dLbls>
        <c:marker val="1"/>
        <c:smooth val="0"/>
        <c:axId val="238760320"/>
        <c:axId val="238761856"/>
      </c:lineChart>
      <c:lineChart>
        <c:grouping val="standard"/>
        <c:varyColors val="0"/>
        <c:ser>
          <c:idx val="1"/>
          <c:order val="1"/>
          <c:tx>
            <c:v>Udskrivning (venstre akse)</c:v>
          </c:tx>
          <c:spPr>
            <a:ln w="28575" cap="rnd" cmpd="sng" algn="ctr">
              <a:solidFill>
                <a:srgbClr val="4F8E4B"/>
              </a:solidFill>
              <a:prstDash val="solid"/>
              <a:round/>
            </a:ln>
            <a:effectLst/>
          </c:spPr>
          <c:marker>
            <c:symbol val="none"/>
          </c:marker>
          <c:val>
            <c:numRef>
              <c:f>'Table 1 - Data Set WORK.FLET'!$B$4:$B$99</c:f>
              <c:numCache>
                <c:formatCode>General</c:formatCode>
                <c:ptCount val="96"/>
                <c:pt idx="0">
                  <c:v>0.7467170260015038</c:v>
                </c:pt>
                <c:pt idx="1">
                  <c:v>0.23842368007902767</c:v>
                </c:pt>
                <c:pt idx="2">
                  <c:v>0.13298796905354282</c:v>
                </c:pt>
                <c:pt idx="3">
                  <c:v>0.10454667381974249</c:v>
                </c:pt>
                <c:pt idx="4">
                  <c:v>8.8447481328460198E-2</c:v>
                </c:pt>
                <c:pt idx="5">
                  <c:v>7.9562032586495496E-2</c:v>
                </c:pt>
                <c:pt idx="6">
                  <c:v>7.0249797096221478E-2</c:v>
                </c:pt>
                <c:pt idx="7">
                  <c:v>6.8622923959186719E-2</c:v>
                </c:pt>
                <c:pt idx="8">
                  <c:v>6.7625638937892973E-2</c:v>
                </c:pt>
                <c:pt idx="9">
                  <c:v>6.2661654135338349E-2</c:v>
                </c:pt>
                <c:pt idx="10">
                  <c:v>6.5277172524681806E-2</c:v>
                </c:pt>
                <c:pt idx="11">
                  <c:v>6.4274477488950488E-2</c:v>
                </c:pt>
                <c:pt idx="12">
                  <c:v>6.8867361461824525E-2</c:v>
                </c:pt>
                <c:pt idx="13">
                  <c:v>6.8305264754968897E-2</c:v>
                </c:pt>
                <c:pt idx="14">
                  <c:v>8.0735212012576774E-2</c:v>
                </c:pt>
                <c:pt idx="15">
                  <c:v>8.5023149504776421E-2</c:v>
                </c:pt>
                <c:pt idx="16">
                  <c:v>8.1587205182710801E-2</c:v>
                </c:pt>
                <c:pt idx="17">
                  <c:v>8.7747645457589118E-2</c:v>
                </c:pt>
                <c:pt idx="18">
                  <c:v>9.067252402870854E-2</c:v>
                </c:pt>
                <c:pt idx="19">
                  <c:v>9.3536456256616843E-2</c:v>
                </c:pt>
                <c:pt idx="20">
                  <c:v>9.6778847414946356E-2</c:v>
                </c:pt>
                <c:pt idx="21">
                  <c:v>9.9257097373308567E-2</c:v>
                </c:pt>
                <c:pt idx="22">
                  <c:v>0.10344601074661376</c:v>
                </c:pt>
                <c:pt idx="23">
                  <c:v>0.10831839606984001</c:v>
                </c:pt>
                <c:pt idx="24">
                  <c:v>0.11814776081862829</c:v>
                </c:pt>
                <c:pt idx="25">
                  <c:v>0.13341033010125972</c:v>
                </c:pt>
                <c:pt idx="26">
                  <c:v>0.14537086795364668</c:v>
                </c:pt>
                <c:pt idx="27">
                  <c:v>0.15258551653128932</c:v>
                </c:pt>
                <c:pt idx="28">
                  <c:v>0.1636461563095914</c:v>
                </c:pt>
                <c:pt idx="29">
                  <c:v>0.16619098584849565</c:v>
                </c:pt>
                <c:pt idx="30">
                  <c:v>0.17145678098147205</c:v>
                </c:pt>
                <c:pt idx="31">
                  <c:v>0.17194598588338861</c:v>
                </c:pt>
                <c:pt idx="32">
                  <c:v>0.16857511426796834</c:v>
                </c:pt>
                <c:pt idx="33">
                  <c:v>0.16011520199268311</c:v>
                </c:pt>
                <c:pt idx="34">
                  <c:v>0.15465226073092581</c:v>
                </c:pt>
                <c:pt idx="35">
                  <c:v>0.14856295687402754</c:v>
                </c:pt>
                <c:pt idx="36">
                  <c:v>0.13987606283326129</c:v>
                </c:pt>
                <c:pt idx="37">
                  <c:v>0.13767354703160048</c:v>
                </c:pt>
                <c:pt idx="38">
                  <c:v>0.1268834596067081</c:v>
                </c:pt>
                <c:pt idx="39">
                  <c:v>0.12421292895372023</c:v>
                </c:pt>
                <c:pt idx="40">
                  <c:v>0.12073665484981506</c:v>
                </c:pt>
                <c:pt idx="41">
                  <c:v>0.11502671705982015</c:v>
                </c:pt>
                <c:pt idx="42">
                  <c:v>0.1152248648510486</c:v>
                </c:pt>
                <c:pt idx="43">
                  <c:v>0.11696754451722316</c:v>
                </c:pt>
                <c:pt idx="44">
                  <c:v>0.12095765127768533</c:v>
                </c:pt>
                <c:pt idx="45">
                  <c:v>0.12270622420953468</c:v>
                </c:pt>
                <c:pt idx="46">
                  <c:v>0.12784945955141458</c:v>
                </c:pt>
                <c:pt idx="47">
                  <c:v>0.12984350103138625</c:v>
                </c:pt>
                <c:pt idx="48">
                  <c:v>0.13459874294042631</c:v>
                </c:pt>
                <c:pt idx="49">
                  <c:v>0.14042012612857857</c:v>
                </c:pt>
                <c:pt idx="50">
                  <c:v>0.14841175849817667</c:v>
                </c:pt>
                <c:pt idx="51">
                  <c:v>0.15349613408250493</c:v>
                </c:pt>
                <c:pt idx="52">
                  <c:v>0.15728416474994658</c:v>
                </c:pt>
                <c:pt idx="53">
                  <c:v>0.15881108992073067</c:v>
                </c:pt>
                <c:pt idx="54">
                  <c:v>0.17014092777451556</c:v>
                </c:pt>
                <c:pt idx="55">
                  <c:v>0.1742666557314306</c:v>
                </c:pt>
                <c:pt idx="56">
                  <c:v>0.1782254667976976</c:v>
                </c:pt>
                <c:pt idx="57">
                  <c:v>0.18474186581202537</c:v>
                </c:pt>
                <c:pt idx="58">
                  <c:v>0.19601740624427891</c:v>
                </c:pt>
                <c:pt idx="59">
                  <c:v>0.20668858082035158</c:v>
                </c:pt>
                <c:pt idx="60">
                  <c:v>0.21746839122220607</c:v>
                </c:pt>
                <c:pt idx="61">
                  <c:v>0.22124703140442228</c:v>
                </c:pt>
                <c:pt idx="62">
                  <c:v>0.23131106898060377</c:v>
                </c:pt>
                <c:pt idx="63">
                  <c:v>0.23799528085067262</c:v>
                </c:pt>
                <c:pt idx="64">
                  <c:v>0.24950666383314613</c:v>
                </c:pt>
                <c:pt idx="65">
                  <c:v>0.26123578605378739</c:v>
                </c:pt>
                <c:pt idx="66">
                  <c:v>0.2746325611901142</c:v>
                </c:pt>
                <c:pt idx="67">
                  <c:v>0.28310817615491962</c:v>
                </c:pt>
                <c:pt idx="68">
                  <c:v>0.29695164441772448</c:v>
                </c:pt>
                <c:pt idx="69">
                  <c:v>0.30775266360157477</c:v>
                </c:pt>
                <c:pt idx="70">
                  <c:v>0.33178445516366478</c:v>
                </c:pt>
                <c:pt idx="71">
                  <c:v>0.34858178203216444</c:v>
                </c:pt>
                <c:pt idx="72">
                  <c:v>0.36534557330744111</c:v>
                </c:pt>
                <c:pt idx="73">
                  <c:v>0.38427165354330711</c:v>
                </c:pt>
                <c:pt idx="74">
                  <c:v>0.39797442769893226</c:v>
                </c:pt>
                <c:pt idx="75">
                  <c:v>0.41491562830474965</c:v>
                </c:pt>
                <c:pt idx="76">
                  <c:v>0.42691965609249927</c:v>
                </c:pt>
                <c:pt idx="77">
                  <c:v>0.44558766359984447</c:v>
                </c:pt>
                <c:pt idx="78">
                  <c:v>0.48139377537212447</c:v>
                </c:pt>
                <c:pt idx="79">
                  <c:v>0.49060691405403734</c:v>
                </c:pt>
                <c:pt idx="80">
                  <c:v>0.51601842202575054</c:v>
                </c:pt>
                <c:pt idx="81">
                  <c:v>0.53046187683284463</c:v>
                </c:pt>
                <c:pt idx="82">
                  <c:v>0.54874168354064212</c:v>
                </c:pt>
                <c:pt idx="83">
                  <c:v>0.59531040643144262</c:v>
                </c:pt>
                <c:pt idx="84">
                  <c:v>0.5898597095742063</c:v>
                </c:pt>
                <c:pt idx="85">
                  <c:v>0.59945295404814003</c:v>
                </c:pt>
                <c:pt idx="86">
                  <c:v>0.62730015975386066</c:v>
                </c:pt>
                <c:pt idx="87">
                  <c:v>0.6429151991330263</c:v>
                </c:pt>
                <c:pt idx="88">
                  <c:v>0.66424682395644286</c:v>
                </c:pt>
                <c:pt idx="89">
                  <c:v>0.67875422920100636</c:v>
                </c:pt>
                <c:pt idx="90">
                  <c:v>0.67993451345543843</c:v>
                </c:pt>
                <c:pt idx="91">
                  <c:v>0.68591338974614235</c:v>
                </c:pt>
                <c:pt idx="92">
                  <c:v>0.72528325314294584</c:v>
                </c:pt>
                <c:pt idx="93">
                  <c:v>0.73702488906038977</c:v>
                </c:pt>
                <c:pt idx="94">
                  <c:v>0.69499999999999995</c:v>
                </c:pt>
                <c:pt idx="95">
                  <c:v>0.69653550042771595</c:v>
                </c:pt>
              </c:numCache>
            </c:numRef>
          </c:val>
          <c:smooth val="0"/>
        </c:ser>
        <c:ser>
          <c:idx val="0"/>
          <c:order val="2"/>
          <c:tx>
            <c:strRef>
              <c:f>'Table 1 - Data Set WORK.FLET'!$D$3</c:f>
              <c:strCache>
                <c:ptCount val="1"/>
                <c:pt idx="0">
                  <c:v>sasa</c:v>
                </c:pt>
              </c:strCache>
            </c:strRef>
          </c:tx>
          <c:spPr>
            <a:ln w="28575" cap="rnd" cmpd="sng" algn="ctr">
              <a:solidFill>
                <a:srgbClr val="00738A"/>
              </a:solidFill>
              <a:prstDash val="solid"/>
              <a:round/>
            </a:ln>
            <a:effectLst/>
          </c:spPr>
          <c:marker>
            <c:symbol val="none"/>
          </c:marker>
          <c:val>
            <c:numRef>
              <c:f>'Table 1 - Data Set WORK.FLET'!$D$4:$D$99</c:f>
              <c:numCache>
                <c:formatCode>General</c:formatCode>
                <c:ptCount val="96"/>
              </c:numCache>
            </c:numRef>
          </c:val>
          <c:smooth val="0"/>
        </c:ser>
        <c:dLbls>
          <c:showLegendKey val="0"/>
          <c:showVal val="0"/>
          <c:showCatName val="0"/>
          <c:showSerName val="0"/>
          <c:showPercent val="0"/>
          <c:showBubbleSize val="0"/>
        </c:dLbls>
        <c:marker val="1"/>
        <c:smooth val="0"/>
        <c:axId val="238770048"/>
        <c:axId val="238768128"/>
      </c:lineChart>
      <c:catAx>
        <c:axId val="238760320"/>
        <c:scaling>
          <c:orientation val="minMax"/>
        </c:scaling>
        <c:delete val="0"/>
        <c:axPos val="b"/>
        <c:majorTickMark val="out"/>
        <c:minorTickMark val="none"/>
        <c:tickLblPos val="nextTo"/>
        <c:txPr>
          <a:bodyPr rot="-5400000" vert="horz"/>
          <a:lstStyle/>
          <a:p>
            <a:pPr>
              <a:defRPr sz="600" b="0">
                <a:latin typeface="arial"/>
                <a:ea typeface="arial"/>
                <a:cs typeface="arial"/>
              </a:defRPr>
            </a:pPr>
            <a:endParaRPr lang="da-DK"/>
          </a:p>
        </c:txPr>
        <c:crossAx val="238761856"/>
        <c:crosses val="autoZero"/>
        <c:auto val="1"/>
        <c:lblAlgn val="ctr"/>
        <c:lblOffset val="100"/>
        <c:tickMarkSkip val="1"/>
        <c:noMultiLvlLbl val="0"/>
      </c:catAx>
      <c:valAx>
        <c:axId val="238761856"/>
        <c:scaling>
          <c:orientation val="minMax"/>
        </c:scaling>
        <c:delete val="0"/>
        <c:axPos val="l"/>
        <c:title>
          <c:tx>
            <c:rich>
              <a:bodyPr rot="0" vert="horz"/>
              <a:lstStyle/>
              <a:p>
                <a:pPr algn="l">
                  <a:defRPr sz="600" b="0">
                    <a:latin typeface=""/>
                    <a:ea typeface=""/>
                    <a:cs typeface=""/>
                  </a:defRPr>
                </a:pPr>
                <a:r>
                  <a:rPr lang="da-DK"/>
                  <a:t>Antal pr. indbyggere</a:t>
                </a:r>
              </a:p>
            </c:rich>
          </c:tx>
          <c:layout>
            <c:manualLayout>
              <c:xMode val="edge"/>
              <c:yMode val="edge"/>
              <c:x val="1.1111111111111112E-2"/>
              <c:y val="1.8518518518518517E-2"/>
            </c:manualLayout>
          </c:layout>
          <c:overlay val="0"/>
        </c:title>
        <c:numFmt formatCode="#,##0.0" sourceLinked="0"/>
        <c:majorTickMark val="out"/>
        <c:minorTickMark val="none"/>
        <c:tickLblPos val="nextTo"/>
        <c:txPr>
          <a:bodyPr/>
          <a:lstStyle/>
          <a:p>
            <a:pPr>
              <a:defRPr sz="600" b="0">
                <a:latin typeface="arial"/>
                <a:ea typeface="arial"/>
                <a:cs typeface="arial"/>
              </a:defRPr>
            </a:pPr>
            <a:endParaRPr lang="da-DK"/>
          </a:p>
        </c:txPr>
        <c:crossAx val="238760320"/>
        <c:crosses val="autoZero"/>
        <c:crossBetween val="between"/>
      </c:valAx>
      <c:valAx>
        <c:axId val="238768128"/>
        <c:scaling>
          <c:orientation val="minMax"/>
          <c:max val="2"/>
          <c:min val="0"/>
        </c:scaling>
        <c:delete val="0"/>
        <c:axPos val="r"/>
        <c:title>
          <c:tx>
            <c:rich>
              <a:bodyPr rot="0" vert="horz"/>
              <a:lstStyle/>
              <a:p>
                <a:pPr algn="r">
                  <a:defRPr sz="600" b="0">
                    <a:latin typeface="arial"/>
                    <a:ea typeface="arial"/>
                    <a:cs typeface="arial"/>
                  </a:defRPr>
                </a:pPr>
                <a:r>
                  <a:rPr lang="da-DK"/>
                  <a:t>Antal pr. indbyggere</a:t>
                </a:r>
              </a:p>
            </c:rich>
          </c:tx>
          <c:layout>
            <c:manualLayout>
              <c:xMode val="edge"/>
              <c:yMode val="edge"/>
              <c:x val="0.9"/>
              <c:y val="1.8518518518518517E-2"/>
            </c:manualLayout>
          </c:layout>
          <c:overlay val="0"/>
        </c:title>
        <c:numFmt formatCode="#,##0.00" sourceLinked="0"/>
        <c:majorTickMark val="out"/>
        <c:minorTickMark val="none"/>
        <c:tickLblPos val="nextTo"/>
        <c:txPr>
          <a:bodyPr/>
          <a:lstStyle/>
          <a:p>
            <a:pPr>
              <a:defRPr sz="600" b="0">
                <a:latin typeface="arial"/>
                <a:ea typeface="arial"/>
                <a:cs typeface="arial"/>
              </a:defRPr>
            </a:pPr>
            <a:endParaRPr lang="da-DK"/>
          </a:p>
        </c:txPr>
        <c:crossAx val="238770048"/>
        <c:crosses val="max"/>
        <c:crossBetween val="between"/>
        <c:majorUnit val="0.25"/>
        <c:minorUnit val="0.1"/>
      </c:valAx>
      <c:catAx>
        <c:axId val="238770048"/>
        <c:scaling>
          <c:orientation val="minMax"/>
        </c:scaling>
        <c:delete val="1"/>
        <c:axPos val="b"/>
        <c:majorTickMark val="out"/>
        <c:minorTickMark val="none"/>
        <c:tickLblPos val="nextTo"/>
        <c:crossAx val="238768128"/>
        <c:crosses val="autoZero"/>
        <c:auto val="1"/>
        <c:lblAlgn val="ctr"/>
        <c:lblOffset val="100"/>
        <c:noMultiLvlLbl val="0"/>
      </c:catAx>
      <c:spPr>
        <a:noFill/>
      </c:spPr>
    </c:plotArea>
    <c:legend>
      <c:legendPos val="b"/>
      <c:legendEntry>
        <c:idx val="2"/>
        <c:delete val="1"/>
      </c:legendEntry>
      <c:layout>
        <c:manualLayout>
          <c:xMode val="edge"/>
          <c:yMode val="edge"/>
          <c:x val="0"/>
          <c:y val="0.90838152847868991"/>
          <c:w val="0.99929965330016135"/>
          <c:h val="9.1618593825128686E-2"/>
        </c:manualLayout>
      </c:layout>
      <c:overlay val="0"/>
      <c:spPr>
        <a:ln w="25400">
          <a:noFill/>
        </a:ln>
      </c:spPr>
      <c:txPr>
        <a:bodyPr/>
        <a:lstStyle/>
        <a:p>
          <a:pPr>
            <a:defRPr sz="600" b="0">
              <a:latin typeface="arial"/>
              <a:ea typeface="arial"/>
              <a:cs typeface="arial"/>
            </a:defRPr>
          </a:pPr>
          <a:endParaRPr lang="da-DK"/>
        </a:p>
      </c:txPr>
    </c:legend>
    <c:plotVisOnly val="1"/>
    <c:dispBlanksAs val="gap"/>
    <c:showDLblsOverMax val="0"/>
  </c:chart>
  <c:spPr>
    <a:noFill/>
    <a:ln w="9525">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5644545846626"/>
          <c:y val="0.19289166663965276"/>
          <c:w val="0.75382023207637794"/>
          <c:h val="0.68131030503280487"/>
        </c:manualLayout>
      </c:layout>
      <c:lineChart>
        <c:grouping val="standard"/>
        <c:varyColors val="0"/>
        <c:ser>
          <c:idx val="0"/>
          <c:order val="0"/>
          <c:spPr>
            <a:ln w="28575" cap="rnd" cmpd="sng" algn="ctr">
              <a:solidFill>
                <a:srgbClr val="4F8E4B"/>
              </a:solidFill>
              <a:prstDash val="solid"/>
              <a:round/>
            </a:ln>
            <a:effectLst/>
          </c:spPr>
          <c:marker>
            <c:symbol val="none"/>
          </c:marker>
          <c:cat>
            <c:strRef>
              <c:f>'Table 1 - Table 1'!$A$6:$A$101</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'Table 1 - Table 1'!$H$6:$H$101</c:f>
              <c:numCache>
                <c:formatCode>###,###,###,###,###,##0</c:formatCode>
                <c:ptCount val="96"/>
                <c:pt idx="0">
                  <c:v>6270.1601033039451</c:v>
                </c:pt>
                <c:pt idx="1">
                  <c:v>2225.9446027331819</c:v>
                </c:pt>
                <c:pt idx="2">
                  <c:v>1446.6111528257495</c:v>
                </c:pt>
                <c:pt idx="3">
                  <c:v>1227.4441242097434</c:v>
                </c:pt>
                <c:pt idx="4">
                  <c:v>1221.8817197591338</c:v>
                </c:pt>
                <c:pt idx="5">
                  <c:v>1109.1146933509362</c:v>
                </c:pt>
                <c:pt idx="6">
                  <c:v>1075.2294974752083</c:v>
                </c:pt>
                <c:pt idx="7">
                  <c:v>985.65964081192101</c:v>
                </c:pt>
                <c:pt idx="8">
                  <c:v>1000.7204751921734</c:v>
                </c:pt>
                <c:pt idx="9">
                  <c:v>1039.3185494272059</c:v>
                </c:pt>
                <c:pt idx="10">
                  <c:v>1050.0561195841869</c:v>
                </c:pt>
                <c:pt idx="11">
                  <c:v>1100.9478555339331</c:v>
                </c:pt>
                <c:pt idx="12">
                  <c:v>1102.6778044038522</c:v>
                </c:pt>
                <c:pt idx="13">
                  <c:v>1204.3775995550936</c:v>
                </c:pt>
                <c:pt idx="14">
                  <c:v>1337.8529950378072</c:v>
                </c:pt>
                <c:pt idx="15">
                  <c:v>1428.7850166693593</c:v>
                </c:pt>
                <c:pt idx="16">
                  <c:v>1454.1362276948614</c:v>
                </c:pt>
                <c:pt idx="17">
                  <c:v>1576.6850625355316</c:v>
                </c:pt>
                <c:pt idx="18">
                  <c:v>1674.9397885349274</c:v>
                </c:pt>
                <c:pt idx="19">
                  <c:v>1814.1449594204844</c:v>
                </c:pt>
                <c:pt idx="20">
                  <c:v>1889.9861732856928</c:v>
                </c:pt>
                <c:pt idx="21">
                  <c:v>1925.3744579213535</c:v>
                </c:pt>
                <c:pt idx="22">
                  <c:v>2037.9733143544174</c:v>
                </c:pt>
                <c:pt idx="23">
                  <c:v>2152.9370292256704</c:v>
                </c:pt>
                <c:pt idx="24">
                  <c:v>2321.2134572064192</c:v>
                </c:pt>
                <c:pt idx="25">
                  <c:v>2471.7391485390194</c:v>
                </c:pt>
                <c:pt idx="26">
                  <c:v>2674.6720508031381</c:v>
                </c:pt>
                <c:pt idx="27">
                  <c:v>2821.5898217140789</c:v>
                </c:pt>
                <c:pt idx="28">
                  <c:v>2902.3909034749036</c:v>
                </c:pt>
                <c:pt idx="29">
                  <c:v>3062.0699463184042</c:v>
                </c:pt>
                <c:pt idx="30">
                  <c:v>3106.2023330388402</c:v>
                </c:pt>
                <c:pt idx="31">
                  <c:v>3016.3438109551371</c:v>
                </c:pt>
                <c:pt idx="32">
                  <c:v>3015.510243339425</c:v>
                </c:pt>
                <c:pt idx="33">
                  <c:v>2849.790947199564</c:v>
                </c:pt>
                <c:pt idx="34">
                  <c:v>2884.1580279438754</c:v>
                </c:pt>
                <c:pt idx="35">
                  <c:v>2824.0683215504455</c:v>
                </c:pt>
                <c:pt idx="36">
                  <c:v>2770.0171115872372</c:v>
                </c:pt>
                <c:pt idx="37">
                  <c:v>2665.0572331509557</c:v>
                </c:pt>
                <c:pt idx="38">
                  <c:v>2558.3139667965484</c:v>
                </c:pt>
                <c:pt idx="39">
                  <c:v>2613.3154185481976</c:v>
                </c:pt>
                <c:pt idx="40">
                  <c:v>2543.3168655508266</c:v>
                </c:pt>
                <c:pt idx="41">
                  <c:v>2430.3931586462586</c:v>
                </c:pt>
                <c:pt idx="42">
                  <c:v>2557.604165084188</c:v>
                </c:pt>
                <c:pt idx="43">
                  <c:v>2697.8188070972169</c:v>
                </c:pt>
                <c:pt idx="44">
                  <c:v>2654.2046132431897</c:v>
                </c:pt>
                <c:pt idx="45">
                  <c:v>2709.4811408957594</c:v>
                </c:pt>
                <c:pt idx="46">
                  <c:v>2705.2717556703133</c:v>
                </c:pt>
                <c:pt idx="47">
                  <c:v>2809.9478118810775</c:v>
                </c:pt>
                <c:pt idx="48">
                  <c:v>3036.5422913752645</c:v>
                </c:pt>
                <c:pt idx="49">
                  <c:v>3031.3685207773292</c:v>
                </c:pt>
                <c:pt idx="50">
                  <c:v>3299.9559627246399</c:v>
                </c:pt>
                <c:pt idx="51">
                  <c:v>3385.487050627868</c:v>
                </c:pt>
                <c:pt idx="52">
                  <c:v>3483.233748362597</c:v>
                </c:pt>
                <c:pt idx="53">
                  <c:v>3545.6769512875708</c:v>
                </c:pt>
                <c:pt idx="54">
                  <c:v>3737.4239950010415</c:v>
                </c:pt>
                <c:pt idx="55">
                  <c:v>3812.49805301886</c:v>
                </c:pt>
                <c:pt idx="56">
                  <c:v>3944.7349752450946</c:v>
                </c:pt>
                <c:pt idx="57">
                  <c:v>4077.3688229946151</c:v>
                </c:pt>
                <c:pt idx="58">
                  <c:v>4186.0660852492601</c:v>
                </c:pt>
                <c:pt idx="59">
                  <c:v>4416.4306236145139</c:v>
                </c:pt>
                <c:pt idx="60">
                  <c:v>4520.1111239292823</c:v>
                </c:pt>
                <c:pt idx="61">
                  <c:v>4903.450863125563</c:v>
                </c:pt>
                <c:pt idx="62">
                  <c:v>4997.5246320307069</c:v>
                </c:pt>
                <c:pt idx="63">
                  <c:v>5126.1831008781637</c:v>
                </c:pt>
                <c:pt idx="64">
                  <c:v>5424.4904754784693</c:v>
                </c:pt>
                <c:pt idx="65">
                  <c:v>5414.4826622725323</c:v>
                </c:pt>
                <c:pt idx="66">
                  <c:v>5679.4620834355155</c:v>
                </c:pt>
                <c:pt idx="67">
                  <c:v>6010.5215487316418</c:v>
                </c:pt>
                <c:pt idx="68">
                  <c:v>6539.2636745553846</c:v>
                </c:pt>
                <c:pt idx="69">
                  <c:v>6808.9506733174558</c:v>
                </c:pt>
                <c:pt idx="70">
                  <c:v>7053.8807609108471</c:v>
                </c:pt>
                <c:pt idx="71">
                  <c:v>7126.7963412457611</c:v>
                </c:pt>
                <c:pt idx="72">
                  <c:v>7714.621801025306</c:v>
                </c:pt>
                <c:pt idx="73">
                  <c:v>7573.0479256540684</c:v>
                </c:pt>
                <c:pt idx="74">
                  <c:v>8280.0029138337723</c:v>
                </c:pt>
                <c:pt idx="75">
                  <c:v>8426.8359708435237</c:v>
                </c:pt>
                <c:pt idx="76">
                  <c:v>8440.8244380580927</c:v>
                </c:pt>
                <c:pt idx="77">
                  <c:v>8855.3645093250452</c:v>
                </c:pt>
                <c:pt idx="78">
                  <c:v>8976.6294439380126</c:v>
                </c:pt>
                <c:pt idx="79">
                  <c:v>9251.5105009665476</c:v>
                </c:pt>
                <c:pt idx="80">
                  <c:v>9175.3361024202532</c:v>
                </c:pt>
                <c:pt idx="81">
                  <c:v>9330.6241649836884</c:v>
                </c:pt>
                <c:pt idx="82">
                  <c:v>9494.5307182367105</c:v>
                </c:pt>
                <c:pt idx="83">
                  <c:v>9751.8499495551678</c:v>
                </c:pt>
                <c:pt idx="84">
                  <c:v>9637.5992792432062</c:v>
                </c:pt>
                <c:pt idx="85">
                  <c:v>9595.5366011660553</c:v>
                </c:pt>
                <c:pt idx="86">
                  <c:v>9721.1972235812136</c:v>
                </c:pt>
                <c:pt idx="87">
                  <c:v>9442.7035928143705</c:v>
                </c:pt>
                <c:pt idx="88">
                  <c:v>9536.3212204845131</c:v>
                </c:pt>
                <c:pt idx="89">
                  <c:v>9535.2513392465098</c:v>
                </c:pt>
                <c:pt idx="90">
                  <c:v>9299.3041605379276</c:v>
                </c:pt>
                <c:pt idx="91">
                  <c:v>9448.8466587895491</c:v>
                </c:pt>
                <c:pt idx="92">
                  <c:v>8990.8725578599333</c:v>
                </c:pt>
                <c:pt idx="93">
                  <c:v>9136.0081300813017</c:v>
                </c:pt>
                <c:pt idx="94">
                  <c:v>10509.22647305222</c:v>
                </c:pt>
                <c:pt idx="95">
                  <c:v>8492.6594476910741</c:v>
                </c:pt>
              </c:numCache>
            </c:numRef>
          </c:val>
          <c:smooth val="0"/>
        </c:ser>
        <c:dLbls>
          <c:showLegendKey val="0"/>
          <c:showVal val="0"/>
          <c:showCatName val="0"/>
          <c:showSerName val="0"/>
          <c:showPercent val="0"/>
          <c:showBubbleSize val="0"/>
        </c:dLbls>
        <c:marker val="1"/>
        <c:smooth val="0"/>
        <c:axId val="240518272"/>
        <c:axId val="240519808"/>
      </c:lineChart>
      <c:lineChart>
        <c:grouping val="standard"/>
        <c:varyColors val="0"/>
        <c:ser>
          <c:idx val="1"/>
          <c:order val="1"/>
          <c:spPr>
            <a:ln w="28575" cap="rnd" cmpd="sng" algn="ctr">
              <a:solidFill>
                <a:srgbClr val="B0DB85"/>
              </a:solidFill>
              <a:prstDash val="solid"/>
              <a:round/>
            </a:ln>
            <a:effectLst/>
          </c:spPr>
          <c:marker>
            <c:symbol val="none"/>
          </c:marker>
          <c:cat>
            <c:strRef>
              <c:f>'Table 1 - Table 1'!$A$6:$A$101</c:f>
              <c:strCach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strCache>
            </c:strRef>
          </c:cat>
          <c:val>
            <c:numRef>
              <c:f>'Table 1 - Table 1'!$J$6:$J$101</c:f>
              <c:numCache>
                <c:formatCode>General</c:formatCode>
                <c:ptCount val="96"/>
              </c:numCache>
            </c:numRef>
          </c:val>
          <c:smooth val="0"/>
        </c:ser>
        <c:dLbls>
          <c:showLegendKey val="0"/>
          <c:showVal val="0"/>
          <c:showCatName val="0"/>
          <c:showSerName val="0"/>
          <c:showPercent val="0"/>
          <c:showBubbleSize val="0"/>
        </c:dLbls>
        <c:marker val="1"/>
        <c:smooth val="0"/>
        <c:axId val="240528000"/>
        <c:axId val="240526080"/>
      </c:lineChart>
      <c:catAx>
        <c:axId val="240518272"/>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40519808"/>
        <c:crosses val="autoZero"/>
        <c:auto val="1"/>
        <c:lblAlgn val="ctr"/>
        <c:lblOffset val="100"/>
        <c:tickLblSkip val="5"/>
        <c:noMultiLvlLbl val="0"/>
      </c:catAx>
      <c:valAx>
        <c:axId val="240519808"/>
        <c:scaling>
          <c:orientation val="minMax"/>
        </c:scaling>
        <c:delete val="0"/>
        <c:axPos val="l"/>
        <c:title>
          <c:tx>
            <c:rich>
              <a:bodyPr rot="0" vert="horz"/>
              <a:lstStyle/>
              <a:p>
                <a:pPr algn="l">
                  <a:defRPr sz="600" b="0">
                    <a:latin typeface=""/>
                    <a:ea typeface=""/>
                    <a:cs typeface=""/>
                  </a:defRPr>
                </a:pPr>
                <a:r>
                  <a:rPr lang="da-DK"/>
                  <a:t>KMF pr.</a:t>
                </a:r>
                <a:r>
                  <a:rPr lang="da-DK" baseline="0"/>
                  <a:t> indbygger</a:t>
                </a:r>
                <a:endParaRPr lang="da-DK"/>
              </a:p>
            </c:rich>
          </c:tx>
          <c:layout>
            <c:manualLayout>
              <c:xMode val="edge"/>
              <c:yMode val="edge"/>
              <c:x val="1.1111111111111112E-2"/>
              <c:y val="1.8518518518518517E-2"/>
            </c:manualLayout>
          </c:layout>
          <c:overlay val="0"/>
        </c:title>
        <c:numFmt formatCode="###,###,###,###,###,##0" sourceLinked="1"/>
        <c:majorTickMark val="out"/>
        <c:minorTickMark val="none"/>
        <c:tickLblPos val="nextTo"/>
        <c:txPr>
          <a:bodyPr/>
          <a:lstStyle/>
          <a:p>
            <a:pPr>
              <a:defRPr sz="600" b="0">
                <a:latin typeface="arial"/>
                <a:ea typeface="arial"/>
                <a:cs typeface="arial"/>
              </a:defRPr>
            </a:pPr>
            <a:endParaRPr lang="da-DK"/>
          </a:p>
        </c:txPr>
        <c:crossAx val="240518272"/>
        <c:crosses val="autoZero"/>
        <c:crossBetween val="between"/>
      </c:valAx>
      <c:valAx>
        <c:axId val="240526080"/>
        <c:scaling>
          <c:orientation val="minMax"/>
          <c:max val="12000"/>
          <c:min val="0"/>
        </c:scaling>
        <c:delete val="0"/>
        <c:axPos val="r"/>
        <c:title>
          <c:tx>
            <c:rich>
              <a:bodyPr rot="0" vert="horz"/>
              <a:lstStyle/>
              <a:p>
                <a:pPr algn="r">
                  <a:defRPr sz="600" b="0">
                    <a:latin typeface="arial"/>
                    <a:ea typeface="arial"/>
                    <a:cs typeface="arial"/>
                  </a:defRPr>
                </a:pPr>
                <a:r>
                  <a:rPr lang="da-DK"/>
                  <a:t>KMF pr. indbygger</a:t>
                </a:r>
              </a:p>
            </c:rich>
          </c:tx>
          <c:layout>
            <c:manualLayout>
              <c:xMode val="edge"/>
              <c:yMode val="edge"/>
              <c:x val="0.9"/>
              <c:y val="1.8518518518518517E-2"/>
            </c:manualLayout>
          </c:layout>
          <c:overlay val="0"/>
        </c:title>
        <c:numFmt formatCode="#,##0" sourceLinked="0"/>
        <c:majorTickMark val="out"/>
        <c:minorTickMark val="none"/>
        <c:tickLblPos val="nextTo"/>
        <c:txPr>
          <a:bodyPr/>
          <a:lstStyle/>
          <a:p>
            <a:pPr>
              <a:defRPr sz="600" b="0">
                <a:latin typeface="arial"/>
                <a:ea typeface="arial"/>
                <a:cs typeface="arial"/>
              </a:defRPr>
            </a:pPr>
            <a:endParaRPr lang="da-DK"/>
          </a:p>
        </c:txPr>
        <c:crossAx val="240528000"/>
        <c:crosses val="max"/>
        <c:crossBetween val="between"/>
        <c:majorUnit val="2000"/>
        <c:minorUnit val="400"/>
      </c:valAx>
      <c:catAx>
        <c:axId val="240528000"/>
        <c:scaling>
          <c:orientation val="minMax"/>
        </c:scaling>
        <c:delete val="1"/>
        <c:axPos val="b"/>
        <c:majorTickMark val="out"/>
        <c:minorTickMark val="none"/>
        <c:tickLblPos val="nextTo"/>
        <c:crossAx val="240526080"/>
        <c:crosses val="autoZero"/>
        <c:auto val="1"/>
        <c:lblAlgn val="ctr"/>
        <c:lblOffset val="100"/>
        <c:noMultiLvlLbl val="0"/>
      </c:catAx>
      <c:spPr>
        <a:noFill/>
      </c:spPr>
    </c:plotArea>
    <c:plotVisOnly val="1"/>
    <c:dispBlanksAs val="gap"/>
    <c:showDLblsOverMax val="0"/>
  </c:chart>
  <c:spPr>
    <a:noFill/>
    <a:ln w="9525">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1.1111111111111112E-2"/>
          <c:y val="9.7910447761194036E-2"/>
          <c:w val="0.98611111111111116"/>
          <c:h val="0.81910447761194016"/>
        </c:manualLayout>
      </c:layout>
      <c:barChart>
        <c:barDir val="col"/>
        <c:grouping val="clustered"/>
        <c:varyColors val="0"/>
        <c:ser>
          <c:idx val="0"/>
          <c:order val="0"/>
          <c:spPr>
            <a:solidFill>
              <a:srgbClr val="4F8E4B"/>
            </a:solidFill>
          </c:spPr>
          <c:invertIfNegative val="0"/>
          <c:cat>
            <c:strRef>
              <c:f>'Ark1'!$A$30:$A$36</c:f>
              <c:strCache>
                <c:ptCount val="7"/>
                <c:pt idx="0">
                  <c:v>0-2</c:v>
                </c:pt>
                <c:pt idx="1">
                  <c:v>3-18</c:v>
                </c:pt>
                <c:pt idx="2">
                  <c:v>18-29</c:v>
                </c:pt>
                <c:pt idx="3">
                  <c:v>30-64</c:v>
                </c:pt>
                <c:pt idx="4">
                  <c:v>65-74</c:v>
                </c:pt>
                <c:pt idx="5">
                  <c:v>75-84</c:v>
                </c:pt>
                <c:pt idx="6">
                  <c:v>85 år+</c:v>
                </c:pt>
              </c:strCache>
            </c:strRef>
          </c:cat>
          <c:val>
            <c:numRef>
              <c:f>'Ark1'!$D$30:$D$36</c:f>
              <c:numCache>
                <c:formatCode>0.0</c:formatCode>
                <c:ptCount val="7"/>
                <c:pt idx="0">
                  <c:v>6.0495086222881511</c:v>
                </c:pt>
                <c:pt idx="1">
                  <c:v>3.9361353849253313</c:v>
                </c:pt>
                <c:pt idx="2">
                  <c:v>4.5855330440310675</c:v>
                </c:pt>
                <c:pt idx="3">
                  <c:v>6.0560388640808682</c:v>
                </c:pt>
                <c:pt idx="4">
                  <c:v>7.889326261508729</c:v>
                </c:pt>
                <c:pt idx="5">
                  <c:v>9.8179850638279138</c:v>
                </c:pt>
                <c:pt idx="6">
                  <c:v>11.256055712555511</c:v>
                </c:pt>
              </c:numCache>
            </c:numRef>
          </c:val>
        </c:ser>
        <c:dLbls>
          <c:showLegendKey val="0"/>
          <c:showVal val="0"/>
          <c:showCatName val="0"/>
          <c:showSerName val="0"/>
          <c:showPercent val="0"/>
          <c:showBubbleSize val="0"/>
        </c:dLbls>
        <c:gapWidth val="150"/>
        <c:axId val="262074368"/>
        <c:axId val="262075904"/>
      </c:barChart>
      <c:lineChart>
        <c:grouping val="standard"/>
        <c:varyColors val="0"/>
        <c:ser>
          <c:idx val="1"/>
          <c:order val="1"/>
          <c:spPr>
            <a:ln w="19050" cap="rnd" cmpd="sng" algn="ctr">
              <a:noFill/>
              <a:prstDash val="solid"/>
              <a:round/>
            </a:ln>
            <a:effectLst/>
            <a:extLst>
              <a:ext uri="{91240B29-F687-4F45-9708-019B960494DF}">
                <a14:hiddenLine xmlns:a14="http://schemas.microsoft.com/office/drawing/2010/main" w="19050" cap="rnd" cmpd="sng" algn="ctr">
                  <a:solidFill>
                    <a:srgbClr val="ED7D31"/>
                  </a:solidFill>
                  <a:prstDash val="solid"/>
                  <a:round/>
                </a14:hiddenLine>
              </a:ext>
            </a:extLst>
          </c:spPr>
          <c:marker>
            <c:symbol val="none"/>
          </c:marker>
          <c:cat>
            <c:strRef>
              <c:f>'Ark1'!$A$30:$A$37</c:f>
              <c:strCache>
                <c:ptCount val="7"/>
                <c:pt idx="0">
                  <c:v>0-2</c:v>
                </c:pt>
                <c:pt idx="1">
                  <c:v>3-18</c:v>
                </c:pt>
                <c:pt idx="2">
                  <c:v>18-29</c:v>
                </c:pt>
                <c:pt idx="3">
                  <c:v>30-64</c:v>
                </c:pt>
                <c:pt idx="4">
                  <c:v>65-74</c:v>
                </c:pt>
                <c:pt idx="5">
                  <c:v>75-84</c:v>
                </c:pt>
                <c:pt idx="6">
                  <c:v>85 år+</c:v>
                </c:pt>
              </c:strCache>
            </c:strRef>
          </c:cat>
          <c:val>
            <c:numRef>
              <c:f>'Ark1'!$E$32:$E$36</c:f>
              <c:numCache>
                <c:formatCode>General</c:formatCode>
                <c:ptCount val="5"/>
              </c:numCache>
            </c:numRef>
          </c:val>
          <c:smooth val="0"/>
        </c:ser>
        <c:dLbls>
          <c:showLegendKey val="0"/>
          <c:showVal val="0"/>
          <c:showCatName val="0"/>
          <c:showSerName val="0"/>
          <c:showPercent val="0"/>
          <c:showBubbleSize val="0"/>
        </c:dLbls>
        <c:marker val="1"/>
        <c:smooth val="0"/>
        <c:axId val="263325184"/>
        <c:axId val="262077824"/>
      </c:lineChart>
      <c:catAx>
        <c:axId val="262074368"/>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2075904"/>
        <c:crosses val="autoZero"/>
        <c:auto val="1"/>
        <c:lblAlgn val="ctr"/>
        <c:lblOffset val="100"/>
        <c:noMultiLvlLbl val="0"/>
      </c:catAx>
      <c:valAx>
        <c:axId val="262075904"/>
        <c:scaling>
          <c:orientation val="minMax"/>
        </c:scaling>
        <c:delete val="0"/>
        <c:axPos val="l"/>
        <c:title>
          <c:tx>
            <c:rich>
              <a:bodyPr rot="0" vert="horz"/>
              <a:lstStyle/>
              <a:p>
                <a:pPr>
                  <a:defRPr sz="600" b="0">
                    <a:latin typeface=""/>
                    <a:ea typeface=""/>
                    <a:cs typeface=""/>
                  </a:defRPr>
                </a:pPr>
                <a:r>
                  <a:rPr lang="da-DK"/>
                  <a:t>Pct.</a:t>
                </a:r>
              </a:p>
            </c:rich>
          </c:tx>
          <c:layout>
            <c:manualLayout>
              <c:xMode val="edge"/>
              <c:yMode val="edge"/>
              <c:x val="1.1111111111111112E-2"/>
              <c:y val="1.9900497512437811E-2"/>
            </c:manualLayout>
          </c:layout>
          <c:overlay val="0"/>
        </c:title>
        <c:numFmt formatCode="0" sourceLinked="0"/>
        <c:majorTickMark val="out"/>
        <c:minorTickMark val="none"/>
        <c:tickLblPos val="nextTo"/>
        <c:txPr>
          <a:bodyPr/>
          <a:lstStyle/>
          <a:p>
            <a:pPr>
              <a:defRPr sz="600" b="0">
                <a:latin typeface="arial"/>
                <a:ea typeface="arial"/>
                <a:cs typeface="arial"/>
              </a:defRPr>
            </a:pPr>
            <a:endParaRPr lang="da-DK"/>
          </a:p>
        </c:txPr>
        <c:crossAx val="262074368"/>
        <c:crosses val="autoZero"/>
        <c:crossBetween val="between"/>
      </c:valAx>
      <c:valAx>
        <c:axId val="262077824"/>
        <c:scaling>
          <c:orientation val="minMax"/>
          <c:max val="12"/>
          <c:min val="0"/>
        </c:scaling>
        <c:delete val="0"/>
        <c:axPos val="r"/>
        <c:title>
          <c:tx>
            <c:rich>
              <a:bodyPr rot="0" vert="horz"/>
              <a:lstStyle/>
              <a:p>
                <a:pPr>
                  <a:defRPr sz="600" b="0">
                    <a:latin typeface="arial"/>
                    <a:ea typeface="arial"/>
                    <a:cs typeface="arial"/>
                  </a:defRPr>
                </a:pPr>
                <a:r>
                  <a:rPr lang="da-DK"/>
                  <a:t>Pct.</a:t>
                </a:r>
              </a:p>
            </c:rich>
          </c:tx>
          <c:layout>
            <c:manualLayout>
              <c:xMode val="edge"/>
              <c:yMode val="edge"/>
              <c:x val="0.9231248906386702"/>
              <c:y val="1.9900497512437811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325184"/>
        <c:crosses val="max"/>
        <c:crossBetween val="between"/>
        <c:majorUnit val="2"/>
        <c:minorUnit val="0.4"/>
      </c:valAx>
      <c:catAx>
        <c:axId val="263325184"/>
        <c:scaling>
          <c:orientation val="minMax"/>
        </c:scaling>
        <c:delete val="1"/>
        <c:axPos val="b"/>
        <c:majorTickMark val="out"/>
        <c:minorTickMark val="none"/>
        <c:tickLblPos val="nextTo"/>
        <c:crossAx val="262077824"/>
        <c:crosses val="autoZero"/>
        <c:auto val="1"/>
        <c:lblAlgn val="ctr"/>
        <c:lblOffset val="100"/>
        <c:noMultiLvlLbl val="0"/>
      </c:catAx>
      <c:spPr>
        <a:noFill/>
      </c:spPr>
    </c:plotArea>
    <c:plotVisOnly val="1"/>
    <c:dispBlanksAs val="gap"/>
    <c:showDLblsOverMax val="0"/>
  </c:chart>
  <c:spPr>
    <a:noFill/>
    <a:ln w="6350">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3320387779659"/>
          <c:y val="0.22965765148921602"/>
          <c:w val="0.7790668440566213"/>
          <c:h val="0.60125927193883377"/>
        </c:manualLayout>
      </c:layout>
      <c:barChart>
        <c:barDir val="col"/>
        <c:grouping val="clustered"/>
        <c:varyColors val="0"/>
        <c:ser>
          <c:idx val="0"/>
          <c:order val="0"/>
          <c:tx>
            <c:strRef>
              <c:f>'Ark1'!$R$1</c:f>
              <c:strCache>
                <c:ptCount val="1"/>
                <c:pt idx="0">
                  <c:v>2014</c:v>
                </c:pt>
              </c:strCache>
            </c:strRef>
          </c:tx>
          <c:spPr>
            <a:solidFill>
              <a:srgbClr val="4F8E4B"/>
            </a:solidFill>
          </c:spPr>
          <c:invertIfNegative val="0"/>
          <c:cat>
            <c:strRef>
              <c:f>'Ark1'!$Q$2:$Q$4</c:f>
              <c:strCache>
                <c:ptCount val="3"/>
                <c:pt idx="0">
                  <c:v>65-74</c:v>
                </c:pt>
                <c:pt idx="1">
                  <c:v>75-84</c:v>
                </c:pt>
                <c:pt idx="2">
                  <c:v>85+</c:v>
                </c:pt>
              </c:strCache>
            </c:strRef>
          </c:cat>
          <c:val>
            <c:numRef>
              <c:f>'Ark1'!$R$2:$R$4</c:f>
              <c:numCache>
                <c:formatCode>General</c:formatCode>
                <c:ptCount val="3"/>
                <c:pt idx="0">
                  <c:v>34.9</c:v>
                </c:pt>
                <c:pt idx="1">
                  <c:v>78.2</c:v>
                </c:pt>
                <c:pt idx="2">
                  <c:v>146.19999999999999</c:v>
                </c:pt>
              </c:numCache>
            </c:numRef>
          </c:val>
        </c:ser>
        <c:dLbls>
          <c:showLegendKey val="0"/>
          <c:showVal val="0"/>
          <c:showCatName val="0"/>
          <c:showSerName val="0"/>
          <c:showPercent val="0"/>
          <c:showBubbleSize val="0"/>
        </c:dLbls>
        <c:gapWidth val="150"/>
        <c:axId val="263334528"/>
        <c:axId val="263344512"/>
      </c:barChart>
      <c:lineChart>
        <c:grouping val="standard"/>
        <c:varyColors val="0"/>
        <c:ser>
          <c:idx val="1"/>
          <c:order val="1"/>
          <c:tx>
            <c:strRef>
              <c:f>'Ark1'!$S$1</c:f>
              <c:strCache>
                <c:ptCount val="1"/>
              </c:strCache>
            </c:strRef>
          </c:tx>
          <c:spPr>
            <a:ln w="19050" cap="rnd" cmpd="sng" algn="ctr">
              <a:noFill/>
              <a:prstDash val="solid"/>
              <a:round/>
            </a:ln>
            <a:effectLst/>
            <a:extLst>
              <a:ext uri="{91240B29-F687-4F45-9708-019B960494DF}">
                <a14:hiddenLine xmlns:a14="http://schemas.microsoft.com/office/drawing/2010/main" w="19050" cap="rnd" cmpd="sng" algn="ctr">
                  <a:solidFill>
                    <a:srgbClr val="ED7D31"/>
                  </a:solidFill>
                  <a:prstDash val="solid"/>
                  <a:round/>
                </a14:hiddenLine>
              </a:ext>
            </a:extLst>
          </c:spPr>
          <c:marker>
            <c:symbol val="none"/>
          </c:marker>
          <c:cat>
            <c:strRef>
              <c:f>'Ark1'!$Q$2:$Q$4</c:f>
              <c:strCache>
                <c:ptCount val="3"/>
                <c:pt idx="0">
                  <c:v>65-74</c:v>
                </c:pt>
                <c:pt idx="1">
                  <c:v>75-84</c:v>
                </c:pt>
                <c:pt idx="2">
                  <c:v>85+</c:v>
                </c:pt>
              </c:strCache>
            </c:strRef>
          </c:cat>
          <c:val>
            <c:numRef>
              <c:f>'Ark1'!$S$2:$S$4</c:f>
              <c:numCache>
                <c:formatCode>General</c:formatCode>
                <c:ptCount val="3"/>
              </c:numCache>
            </c:numRef>
          </c:val>
          <c:smooth val="0"/>
        </c:ser>
        <c:dLbls>
          <c:showLegendKey val="0"/>
          <c:showVal val="0"/>
          <c:showCatName val="0"/>
          <c:showSerName val="0"/>
          <c:showPercent val="0"/>
          <c:showBubbleSize val="0"/>
        </c:dLbls>
        <c:marker val="1"/>
        <c:smooth val="0"/>
        <c:axId val="263348608"/>
        <c:axId val="263346432"/>
      </c:lineChart>
      <c:catAx>
        <c:axId val="263334528"/>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3344512"/>
        <c:crosses val="autoZero"/>
        <c:auto val="1"/>
        <c:lblAlgn val="ctr"/>
        <c:lblOffset val="100"/>
        <c:noMultiLvlLbl val="0"/>
      </c:catAx>
      <c:valAx>
        <c:axId val="263344512"/>
        <c:scaling>
          <c:orientation val="minMax"/>
        </c:scaling>
        <c:delete val="0"/>
        <c:axPos val="l"/>
        <c:title>
          <c:tx>
            <c:rich>
              <a:bodyPr rot="0" vert="horz"/>
              <a:lstStyle/>
              <a:p>
                <a:pPr>
                  <a:defRPr sz="600" b="0">
                    <a:latin typeface=""/>
                    <a:ea typeface=""/>
                    <a:cs typeface=""/>
                  </a:defRPr>
                </a:pPr>
                <a:r>
                  <a:rPr lang="da-DK"/>
                  <a:t>Antal</a:t>
                </a:r>
                <a:r>
                  <a:rPr lang="da-DK" baseline="0"/>
                  <a:t> pr. 1.000 ældre</a:t>
                </a:r>
                <a:endParaRPr lang="da-DK"/>
              </a:p>
            </c:rich>
          </c:tx>
          <c:layout>
            <c:manualLayout>
              <c:xMode val="edge"/>
              <c:yMode val="edge"/>
              <c:x val="1.1111111111111112E-2"/>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334528"/>
        <c:crosses val="autoZero"/>
        <c:crossBetween val="between"/>
      </c:valAx>
      <c:valAx>
        <c:axId val="263346432"/>
        <c:scaling>
          <c:orientation val="minMax"/>
          <c:max val="160"/>
          <c:min val="0"/>
        </c:scaling>
        <c:delete val="0"/>
        <c:axPos val="r"/>
        <c:title>
          <c:tx>
            <c:rich>
              <a:bodyPr rot="0" vert="horz"/>
              <a:lstStyle/>
              <a:p>
                <a:pPr>
                  <a:defRPr sz="600" b="0">
                    <a:latin typeface="arial"/>
                    <a:ea typeface="arial"/>
                    <a:cs typeface="arial"/>
                  </a:defRPr>
                </a:pPr>
                <a:r>
                  <a:rPr lang="da-DK"/>
                  <a:t>Antal pr. 1.000 ældre</a:t>
                </a:r>
              </a:p>
            </c:rich>
          </c:tx>
          <c:layout>
            <c:manualLayout>
              <c:xMode val="edge"/>
              <c:yMode val="edge"/>
              <c:x val="0.9231248906386702"/>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348608"/>
        <c:crosses val="max"/>
        <c:crossBetween val="between"/>
        <c:majorUnit val="20"/>
        <c:minorUnit val="4"/>
      </c:valAx>
      <c:catAx>
        <c:axId val="263348608"/>
        <c:scaling>
          <c:orientation val="minMax"/>
        </c:scaling>
        <c:delete val="1"/>
        <c:axPos val="b"/>
        <c:majorTickMark val="out"/>
        <c:minorTickMark val="none"/>
        <c:tickLblPos val="nextTo"/>
        <c:crossAx val="263346432"/>
        <c:crosses val="autoZero"/>
        <c:auto val="1"/>
        <c:lblAlgn val="ctr"/>
        <c:lblOffset val="100"/>
        <c:noMultiLvlLbl val="0"/>
      </c:catAx>
      <c:spPr>
        <a:noFill/>
      </c:spPr>
    </c:plotArea>
    <c:plotVisOnly val="1"/>
    <c:dispBlanksAs val="gap"/>
    <c:showDLblsOverMax val="0"/>
  </c:chart>
  <c:spPr>
    <a:noFill/>
    <a:ln w="6350">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75810632366607"/>
          <c:y val="0.12094202898550725"/>
          <c:w val="0.71281703917445105"/>
          <c:h val="0.65265719502453501"/>
        </c:manualLayout>
      </c:layout>
      <c:barChart>
        <c:barDir val="col"/>
        <c:grouping val="percentStacked"/>
        <c:varyColors val="0"/>
        <c:ser>
          <c:idx val="0"/>
          <c:order val="0"/>
          <c:tx>
            <c:strRef>
              <c:f>Aktivitet!$O$6</c:f>
              <c:strCache>
                <c:ptCount val="1"/>
                <c:pt idx="0">
                  <c:v>Kommunal kontakt</c:v>
                </c:pt>
              </c:strCache>
            </c:strRef>
          </c:tx>
          <c:spPr>
            <a:solidFill>
              <a:srgbClr val="4F8E4B"/>
            </a:solidFill>
          </c:spPr>
          <c:invertIfNegative val="0"/>
          <c:cat>
            <c:strRef>
              <c:f>Aktivitet!$N$7:$N$8</c:f>
              <c:strCache>
                <c:ptCount val="2"/>
                <c:pt idx="0">
                  <c:v>Borgere 65+ år</c:v>
                </c:pt>
                <c:pt idx="1">
                  <c:v>Borgere 80+ år</c:v>
                </c:pt>
              </c:strCache>
            </c:strRef>
          </c:cat>
          <c:val>
            <c:numRef>
              <c:f>Aktivitet!$O$7:$O$8</c:f>
              <c:numCache>
                <c:formatCode>0%</c:formatCode>
                <c:ptCount val="2"/>
                <c:pt idx="0">
                  <c:v>0.21017954208532366</c:v>
                </c:pt>
                <c:pt idx="1">
                  <c:v>0.53568627450980388</c:v>
                </c:pt>
              </c:numCache>
            </c:numRef>
          </c:val>
        </c:ser>
        <c:ser>
          <c:idx val="1"/>
          <c:order val="1"/>
          <c:tx>
            <c:strRef>
              <c:f>Aktivitet!$P$6</c:f>
              <c:strCache>
                <c:ptCount val="1"/>
                <c:pt idx="0">
                  <c:v>Ingen kommunal kontakt</c:v>
                </c:pt>
              </c:strCache>
            </c:strRef>
          </c:tx>
          <c:spPr>
            <a:solidFill>
              <a:srgbClr val="B0DB85"/>
            </a:solidFill>
          </c:spPr>
          <c:invertIfNegative val="0"/>
          <c:cat>
            <c:strRef>
              <c:f>Aktivitet!$N$7:$N$8</c:f>
              <c:strCache>
                <c:ptCount val="2"/>
                <c:pt idx="0">
                  <c:v>Borgere 65+ år</c:v>
                </c:pt>
                <c:pt idx="1">
                  <c:v>Borgere 80+ år</c:v>
                </c:pt>
              </c:strCache>
            </c:strRef>
          </c:cat>
          <c:val>
            <c:numRef>
              <c:f>Aktivitet!$P$7:$P$8</c:f>
              <c:numCache>
                <c:formatCode>0%</c:formatCode>
                <c:ptCount val="2"/>
                <c:pt idx="0">
                  <c:v>0.78982045791467637</c:v>
                </c:pt>
                <c:pt idx="1">
                  <c:v>0.46431372549019606</c:v>
                </c:pt>
              </c:numCache>
            </c:numRef>
          </c:val>
        </c:ser>
        <c:dLbls>
          <c:showLegendKey val="0"/>
          <c:showVal val="0"/>
          <c:showCatName val="0"/>
          <c:showSerName val="0"/>
          <c:showPercent val="0"/>
          <c:showBubbleSize val="0"/>
        </c:dLbls>
        <c:gapWidth val="150"/>
        <c:overlap val="100"/>
        <c:axId val="263371008"/>
        <c:axId val="263376896"/>
      </c:barChart>
      <c:lineChart>
        <c:grouping val="standard"/>
        <c:varyColors val="0"/>
        <c:ser>
          <c:idx val="2"/>
          <c:order val="2"/>
          <c:tx>
            <c:strRef>
              <c:f>Aktivitet!$Q$6</c:f>
              <c:strCache>
                <c:ptCount val="1"/>
              </c:strCache>
            </c:strRef>
          </c:tx>
          <c:spPr>
            <a:ln w="19050" cap="rnd" cmpd="sng" algn="ctr">
              <a:noFill/>
              <a:prstDash val="solid"/>
              <a:round/>
            </a:ln>
            <a:effectLst/>
            <a:extLst>
              <a:ext uri="{91240B29-F687-4F45-9708-019B960494DF}">
                <a14:hiddenLine xmlns:a14="http://schemas.microsoft.com/office/drawing/2010/main" w="19050" cap="rnd" cmpd="sng" algn="ctr">
                  <a:solidFill>
                    <a:srgbClr val="A5A5A5"/>
                  </a:solidFill>
                  <a:prstDash val="solid"/>
                  <a:round/>
                </a14:hiddenLine>
              </a:ext>
            </a:extLst>
          </c:spPr>
          <c:marker>
            <c:symbol val="none"/>
          </c:marker>
          <c:cat>
            <c:strRef>
              <c:f>Aktivitet!$N$7:$N$8</c:f>
              <c:strCache>
                <c:ptCount val="2"/>
                <c:pt idx="0">
                  <c:v>Borgere 65+ år</c:v>
                </c:pt>
                <c:pt idx="1">
                  <c:v>Borgere 80+ år</c:v>
                </c:pt>
              </c:strCache>
            </c:strRef>
          </c:cat>
          <c:val>
            <c:numRef>
              <c:f>Aktivitet!$Q$7:$Q$8</c:f>
              <c:numCache>
                <c:formatCode>General</c:formatCode>
                <c:ptCount val="2"/>
                <c:pt idx="0">
                  <c:v>0</c:v>
                </c:pt>
                <c:pt idx="1">
                  <c:v>0</c:v>
                </c:pt>
              </c:numCache>
            </c:numRef>
          </c:val>
          <c:smooth val="0"/>
        </c:ser>
        <c:dLbls>
          <c:showLegendKey val="0"/>
          <c:showVal val="0"/>
          <c:showCatName val="0"/>
          <c:showSerName val="0"/>
          <c:showPercent val="0"/>
          <c:showBubbleSize val="0"/>
        </c:dLbls>
        <c:marker val="1"/>
        <c:smooth val="0"/>
        <c:axId val="263380992"/>
        <c:axId val="263378816"/>
      </c:lineChart>
      <c:catAx>
        <c:axId val="263371008"/>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3376896"/>
        <c:crosses val="autoZero"/>
        <c:auto val="1"/>
        <c:lblAlgn val="ctr"/>
        <c:lblOffset val="100"/>
        <c:noMultiLvlLbl val="0"/>
      </c:catAx>
      <c:valAx>
        <c:axId val="263376896"/>
        <c:scaling>
          <c:orientation val="minMax"/>
        </c:scaling>
        <c:delete val="0"/>
        <c:axPos val="l"/>
        <c:title>
          <c:tx>
            <c:rich>
              <a:bodyPr rot="0" vert="horz"/>
              <a:lstStyle/>
              <a:p>
                <a:pPr>
                  <a:defRPr sz="600" b="0">
                    <a:latin typeface=""/>
                    <a:ea typeface=""/>
                    <a:cs typeface=""/>
                  </a:defRPr>
                </a:pPr>
                <a:r>
                  <a:rPr lang="da-DK"/>
                  <a:t>Pct.</a:t>
                </a:r>
              </a:p>
            </c:rich>
          </c:tx>
          <c:layout>
            <c:manualLayout>
              <c:xMode val="edge"/>
              <c:yMode val="edge"/>
              <c:x val="1.1111111111111112E-2"/>
              <c:y val="1.8518518518518517E-2"/>
            </c:manualLayout>
          </c:layout>
          <c:overlay val="0"/>
        </c:title>
        <c:numFmt formatCode="0%" sourceLinked="1"/>
        <c:majorTickMark val="out"/>
        <c:minorTickMark val="none"/>
        <c:tickLblPos val="nextTo"/>
        <c:txPr>
          <a:bodyPr/>
          <a:lstStyle/>
          <a:p>
            <a:pPr>
              <a:defRPr sz="600" b="0">
                <a:latin typeface="arial"/>
                <a:ea typeface="arial"/>
                <a:cs typeface="arial"/>
              </a:defRPr>
            </a:pPr>
            <a:endParaRPr lang="da-DK"/>
          </a:p>
        </c:txPr>
        <c:crossAx val="263371008"/>
        <c:crosses val="autoZero"/>
        <c:crossBetween val="between"/>
      </c:valAx>
      <c:valAx>
        <c:axId val="263378816"/>
        <c:scaling>
          <c:orientation val="minMax"/>
          <c:max val="1"/>
          <c:min val="0"/>
        </c:scaling>
        <c:delete val="0"/>
        <c:axPos val="r"/>
        <c:title>
          <c:tx>
            <c:rich>
              <a:bodyPr rot="0" vert="horz"/>
              <a:lstStyle/>
              <a:p>
                <a:pPr>
                  <a:defRPr sz="600" b="0">
                    <a:latin typeface="arial"/>
                    <a:ea typeface="arial"/>
                    <a:cs typeface="arial"/>
                  </a:defRPr>
                </a:pPr>
                <a:r>
                  <a:rPr lang="da-DK"/>
                  <a:t>Pct.</a:t>
                </a:r>
              </a:p>
            </c:rich>
          </c:tx>
          <c:layout>
            <c:manualLayout>
              <c:xMode val="edge"/>
              <c:yMode val="edge"/>
              <c:x val="0.9231248906386702"/>
              <c:y val="1.8518518518518517E-2"/>
            </c:manualLayout>
          </c:layout>
          <c:overlay val="0"/>
        </c:title>
        <c:numFmt formatCode="0%" sourceLinked="0"/>
        <c:majorTickMark val="out"/>
        <c:minorTickMark val="none"/>
        <c:tickLblPos val="nextTo"/>
        <c:txPr>
          <a:bodyPr/>
          <a:lstStyle/>
          <a:p>
            <a:pPr>
              <a:defRPr sz="600" b="0">
                <a:latin typeface="arial"/>
                <a:ea typeface="arial"/>
                <a:cs typeface="arial"/>
              </a:defRPr>
            </a:pPr>
            <a:endParaRPr lang="da-DK"/>
          </a:p>
        </c:txPr>
        <c:crossAx val="263380992"/>
        <c:crosses val="max"/>
        <c:crossBetween val="between"/>
        <c:majorUnit val="0.1"/>
        <c:minorUnit val="0.02"/>
      </c:valAx>
      <c:catAx>
        <c:axId val="263380992"/>
        <c:scaling>
          <c:orientation val="minMax"/>
        </c:scaling>
        <c:delete val="1"/>
        <c:axPos val="b"/>
        <c:majorTickMark val="out"/>
        <c:minorTickMark val="none"/>
        <c:tickLblPos val="nextTo"/>
        <c:crossAx val="263378816"/>
        <c:crosses val="autoZero"/>
        <c:auto val="1"/>
        <c:lblAlgn val="ctr"/>
        <c:lblOffset val="100"/>
        <c:noMultiLvlLbl val="0"/>
      </c:catAx>
      <c:spPr>
        <a:noFill/>
      </c:spPr>
    </c:plotArea>
    <c:legend>
      <c:legendPos val="b"/>
      <c:overlay val="0"/>
      <c:spPr>
        <a:ln w="25400">
          <a:noFill/>
        </a:ln>
      </c:spPr>
      <c:txPr>
        <a:bodyPr/>
        <a:lstStyle/>
        <a:p>
          <a:pPr>
            <a:defRPr sz="600" b="0">
              <a:latin typeface="arial"/>
              <a:ea typeface="arial"/>
              <a:cs typeface="arial"/>
            </a:defRPr>
          </a:pPr>
          <a:endParaRPr lang="da-DK"/>
        </a:p>
      </c:txPr>
    </c:legend>
    <c:plotVisOnly val="1"/>
    <c:dispBlanksAs val="gap"/>
    <c:showDLblsOverMax val="0"/>
  </c:chart>
  <c:spPr>
    <a:noFill/>
    <a:ln w="6350">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74235220456954"/>
          <c:y val="0.1209685296410854"/>
          <c:w val="0.73884905297205927"/>
          <c:h val="0.67423737429992092"/>
        </c:manualLayout>
      </c:layout>
      <c:barChart>
        <c:barDir val="col"/>
        <c:grouping val="percentStacked"/>
        <c:varyColors val="0"/>
        <c:ser>
          <c:idx val="0"/>
          <c:order val="0"/>
          <c:tx>
            <c:strRef>
              <c:f>Aktivitet!$R$6</c:f>
              <c:strCache>
                <c:ptCount val="1"/>
                <c:pt idx="0">
                  <c:v>Kommunal kontakt</c:v>
                </c:pt>
              </c:strCache>
            </c:strRef>
          </c:tx>
          <c:spPr>
            <a:solidFill>
              <a:srgbClr val="4F8E4B"/>
            </a:solidFill>
          </c:spPr>
          <c:invertIfNegative val="0"/>
          <c:cat>
            <c:strRef>
              <c:f>Aktivitet!$N$7:$N$8</c:f>
              <c:strCache>
                <c:ptCount val="2"/>
                <c:pt idx="0">
                  <c:v>Borgere 65+ år</c:v>
                </c:pt>
                <c:pt idx="1">
                  <c:v>Borgere 80+ år</c:v>
                </c:pt>
              </c:strCache>
            </c:strRef>
          </c:cat>
          <c:val>
            <c:numRef>
              <c:f>Aktivitet!$R$7:$R$8</c:f>
              <c:numCache>
                <c:formatCode>0%</c:formatCode>
                <c:ptCount val="2"/>
                <c:pt idx="0">
                  <c:v>0.58417085427135673</c:v>
                </c:pt>
                <c:pt idx="1">
                  <c:v>0.81111111111111112</c:v>
                </c:pt>
              </c:numCache>
            </c:numRef>
          </c:val>
        </c:ser>
        <c:ser>
          <c:idx val="1"/>
          <c:order val="1"/>
          <c:tx>
            <c:strRef>
              <c:f>Aktivitet!$S$6</c:f>
              <c:strCache>
                <c:ptCount val="1"/>
                <c:pt idx="0">
                  <c:v>Ingen kommunal kontakt</c:v>
                </c:pt>
              </c:strCache>
            </c:strRef>
          </c:tx>
          <c:spPr>
            <a:solidFill>
              <a:srgbClr val="B0DB85"/>
            </a:solidFill>
          </c:spPr>
          <c:invertIfNegative val="0"/>
          <c:cat>
            <c:strRef>
              <c:f>Aktivitet!$N$7:$N$8</c:f>
              <c:strCache>
                <c:ptCount val="2"/>
                <c:pt idx="0">
                  <c:v>Borgere 65+ år</c:v>
                </c:pt>
                <c:pt idx="1">
                  <c:v>Borgere 80+ år</c:v>
                </c:pt>
              </c:strCache>
            </c:strRef>
          </c:cat>
          <c:val>
            <c:numRef>
              <c:f>Aktivitet!$S$7:$S$8</c:f>
              <c:numCache>
                <c:formatCode>0%</c:formatCode>
                <c:ptCount val="2"/>
                <c:pt idx="0">
                  <c:v>0.41582914572864321</c:v>
                </c:pt>
                <c:pt idx="1">
                  <c:v>0.18888888888888888</c:v>
                </c:pt>
              </c:numCache>
            </c:numRef>
          </c:val>
        </c:ser>
        <c:dLbls>
          <c:showLegendKey val="0"/>
          <c:showVal val="0"/>
          <c:showCatName val="0"/>
          <c:showSerName val="0"/>
          <c:showPercent val="0"/>
          <c:showBubbleSize val="0"/>
        </c:dLbls>
        <c:gapWidth val="150"/>
        <c:overlap val="100"/>
        <c:axId val="263789184"/>
        <c:axId val="263803264"/>
      </c:barChart>
      <c:lineChart>
        <c:grouping val="standard"/>
        <c:varyColors val="0"/>
        <c:ser>
          <c:idx val="2"/>
          <c:order val="2"/>
          <c:tx>
            <c:strRef>
              <c:f>Aktivitet!$T$6</c:f>
              <c:strCache>
                <c:ptCount val="1"/>
              </c:strCache>
            </c:strRef>
          </c:tx>
          <c:spPr>
            <a:ln w="19050" cap="rnd" cmpd="sng" algn="ctr">
              <a:noFill/>
              <a:prstDash val="solid"/>
              <a:round/>
            </a:ln>
            <a:effectLst/>
            <a:extLst>
              <a:ext uri="{91240B29-F687-4F45-9708-019B960494DF}">
                <a14:hiddenLine xmlns:a14="http://schemas.microsoft.com/office/drawing/2010/main" w="19050" cap="rnd" cmpd="sng" algn="ctr">
                  <a:solidFill>
                    <a:srgbClr val="A5A5A5"/>
                  </a:solidFill>
                  <a:prstDash val="solid"/>
                  <a:round/>
                </a14:hiddenLine>
              </a:ext>
            </a:extLst>
          </c:spPr>
          <c:marker>
            <c:symbol val="none"/>
          </c:marker>
          <c:cat>
            <c:strRef>
              <c:f>Aktivitet!$N$7:$N$8</c:f>
              <c:strCache>
                <c:ptCount val="2"/>
                <c:pt idx="0">
                  <c:v>Borgere 65+ år</c:v>
                </c:pt>
                <c:pt idx="1">
                  <c:v>Borgere 80+ år</c:v>
                </c:pt>
              </c:strCache>
            </c:strRef>
          </c:cat>
          <c:val>
            <c:numRef>
              <c:f>Aktivitet!$T$7:$T$8</c:f>
              <c:numCache>
                <c:formatCode>General</c:formatCode>
                <c:ptCount val="2"/>
              </c:numCache>
            </c:numRef>
          </c:val>
          <c:smooth val="0"/>
        </c:ser>
        <c:dLbls>
          <c:showLegendKey val="0"/>
          <c:showVal val="0"/>
          <c:showCatName val="0"/>
          <c:showSerName val="0"/>
          <c:showPercent val="0"/>
          <c:showBubbleSize val="0"/>
        </c:dLbls>
        <c:marker val="1"/>
        <c:smooth val="0"/>
        <c:axId val="263807360"/>
        <c:axId val="263805184"/>
      </c:lineChart>
      <c:catAx>
        <c:axId val="263789184"/>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3803264"/>
        <c:crosses val="autoZero"/>
        <c:auto val="1"/>
        <c:lblAlgn val="ctr"/>
        <c:lblOffset val="100"/>
        <c:noMultiLvlLbl val="0"/>
      </c:catAx>
      <c:valAx>
        <c:axId val="263803264"/>
        <c:scaling>
          <c:orientation val="minMax"/>
        </c:scaling>
        <c:delete val="0"/>
        <c:axPos val="l"/>
        <c:title>
          <c:tx>
            <c:rich>
              <a:bodyPr rot="0" vert="horz"/>
              <a:lstStyle/>
              <a:p>
                <a:pPr>
                  <a:defRPr sz="600" b="0">
                    <a:latin typeface=""/>
                    <a:ea typeface=""/>
                    <a:cs typeface=""/>
                  </a:defRPr>
                </a:pPr>
                <a:r>
                  <a:rPr lang="da-DK"/>
                  <a:t>Pct.</a:t>
                </a:r>
              </a:p>
            </c:rich>
          </c:tx>
          <c:layout>
            <c:manualLayout>
              <c:xMode val="edge"/>
              <c:yMode val="edge"/>
              <c:x val="1.1111111111111112E-2"/>
              <c:y val="1.8518518518518517E-2"/>
            </c:manualLayout>
          </c:layout>
          <c:overlay val="0"/>
        </c:title>
        <c:numFmt formatCode="0%" sourceLinked="1"/>
        <c:majorTickMark val="out"/>
        <c:minorTickMark val="none"/>
        <c:tickLblPos val="nextTo"/>
        <c:txPr>
          <a:bodyPr/>
          <a:lstStyle/>
          <a:p>
            <a:pPr>
              <a:defRPr sz="600" b="0">
                <a:latin typeface="arial"/>
                <a:ea typeface="arial"/>
                <a:cs typeface="arial"/>
              </a:defRPr>
            </a:pPr>
            <a:endParaRPr lang="da-DK"/>
          </a:p>
        </c:txPr>
        <c:crossAx val="263789184"/>
        <c:crosses val="autoZero"/>
        <c:crossBetween val="between"/>
      </c:valAx>
      <c:valAx>
        <c:axId val="263805184"/>
        <c:scaling>
          <c:orientation val="minMax"/>
          <c:max val="1"/>
          <c:min val="0"/>
        </c:scaling>
        <c:delete val="0"/>
        <c:axPos val="r"/>
        <c:title>
          <c:tx>
            <c:rich>
              <a:bodyPr rot="0" vert="horz"/>
              <a:lstStyle/>
              <a:p>
                <a:pPr>
                  <a:defRPr sz="600" b="0">
                    <a:latin typeface="arial"/>
                    <a:ea typeface="arial"/>
                    <a:cs typeface="arial"/>
                  </a:defRPr>
                </a:pPr>
                <a:r>
                  <a:rPr lang="da-DK"/>
                  <a:t>Pct.</a:t>
                </a:r>
              </a:p>
            </c:rich>
          </c:tx>
          <c:layout>
            <c:manualLayout>
              <c:xMode val="edge"/>
              <c:yMode val="edge"/>
              <c:x val="0.9231248906386702"/>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807360"/>
        <c:crosses val="max"/>
        <c:crossBetween val="between"/>
        <c:majorUnit val="0.1"/>
        <c:minorUnit val="0.02"/>
      </c:valAx>
      <c:catAx>
        <c:axId val="263807360"/>
        <c:scaling>
          <c:orientation val="minMax"/>
        </c:scaling>
        <c:delete val="1"/>
        <c:axPos val="b"/>
        <c:majorTickMark val="out"/>
        <c:minorTickMark val="none"/>
        <c:tickLblPos val="nextTo"/>
        <c:crossAx val="263805184"/>
        <c:crosses val="autoZero"/>
        <c:auto val="1"/>
        <c:lblAlgn val="ctr"/>
        <c:lblOffset val="100"/>
        <c:noMultiLvlLbl val="0"/>
      </c:catAx>
      <c:spPr>
        <a:noFill/>
      </c:spPr>
    </c:plotArea>
    <c:legend>
      <c:legendPos val="b"/>
      <c:overlay val="0"/>
      <c:spPr>
        <a:ln w="25400">
          <a:noFill/>
        </a:ln>
      </c:spPr>
      <c:txPr>
        <a:bodyPr/>
        <a:lstStyle/>
        <a:p>
          <a:pPr>
            <a:defRPr sz="600" b="0">
              <a:latin typeface="arial"/>
              <a:ea typeface="arial"/>
              <a:cs typeface="arial"/>
            </a:defRPr>
          </a:pPr>
          <a:endParaRPr lang="da-DK"/>
        </a:p>
      </c:txPr>
    </c:legend>
    <c:plotVisOnly val="1"/>
    <c:dispBlanksAs val="gap"/>
    <c:showDLblsOverMax val="0"/>
  </c:chart>
  <c:spPr>
    <a:noFill/>
    <a:ln w="6350">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16990142118523"/>
          <c:y val="0.18056713499047913"/>
          <c:w val="0.77799348660012813"/>
          <c:h val="0.59502700243013296"/>
        </c:manualLayout>
      </c:layout>
      <c:barChart>
        <c:barDir val="col"/>
        <c:grouping val="clustered"/>
        <c:varyColors val="0"/>
        <c:ser>
          <c:idx val="0"/>
          <c:order val="0"/>
          <c:tx>
            <c:strRef>
              <c:f>'Table 1 - Table 1'!$G$12</c:f>
              <c:strCache>
                <c:ptCount val="1"/>
                <c:pt idx="0">
                  <c:v>KMF nuværende</c:v>
                </c:pt>
              </c:strCache>
            </c:strRef>
          </c:tx>
          <c:spPr>
            <a:solidFill>
              <a:srgbClr val="4F8E4B"/>
            </a:solidFill>
          </c:spPr>
          <c:invertIfNegative val="0"/>
          <c:cat>
            <c:strRef>
              <c:f>'Table 1 - Table 1'!$F$13:$F$16</c:f>
              <c:strCache>
                <c:ptCount val="4"/>
                <c:pt idx="0">
                  <c:v>0-2</c:v>
                </c:pt>
                <c:pt idx="1">
                  <c:v>3-64</c:v>
                </c:pt>
                <c:pt idx="2">
                  <c:v>65-79</c:v>
                </c:pt>
                <c:pt idx="3">
                  <c:v>80+</c:v>
                </c:pt>
              </c:strCache>
            </c:strRef>
          </c:cat>
          <c:val>
            <c:numRef>
              <c:f>'Table 1 - Table 1'!$G$13:$G$16</c:f>
              <c:numCache>
                <c:formatCode>General</c:formatCode>
                <c:ptCount val="4"/>
                <c:pt idx="0">
                  <c:v>2396.3221528316139</c:v>
                </c:pt>
                <c:pt idx="1">
                  <c:v>2461.623026862494</c:v>
                </c:pt>
                <c:pt idx="2">
                  <c:v>6794.4940118343784</c:v>
                </c:pt>
                <c:pt idx="3">
                  <c:v>8792.8537992744041</c:v>
                </c:pt>
              </c:numCache>
            </c:numRef>
          </c:val>
        </c:ser>
        <c:ser>
          <c:idx val="1"/>
          <c:order val="1"/>
          <c:tx>
            <c:strRef>
              <c:f>'Table 1 - Table 1'!$H$12</c:f>
              <c:strCache>
                <c:ptCount val="1"/>
                <c:pt idx="0">
                  <c:v>Ændret KMF</c:v>
                </c:pt>
              </c:strCache>
            </c:strRef>
          </c:tx>
          <c:spPr>
            <a:solidFill>
              <a:srgbClr val="B0DB85"/>
            </a:solidFill>
          </c:spPr>
          <c:invertIfNegative val="0"/>
          <c:cat>
            <c:strRef>
              <c:f>'Table 1 - Table 1'!$F$13:$F$16</c:f>
              <c:strCache>
                <c:ptCount val="4"/>
                <c:pt idx="0">
                  <c:v>0-2</c:v>
                </c:pt>
                <c:pt idx="1">
                  <c:v>3-64</c:v>
                </c:pt>
                <c:pt idx="2">
                  <c:v>65-79</c:v>
                </c:pt>
                <c:pt idx="3">
                  <c:v>80+</c:v>
                </c:pt>
              </c:strCache>
            </c:strRef>
          </c:cat>
          <c:val>
            <c:numRef>
              <c:f>'Table 1 - Table 1'!$H$13:$H$16</c:f>
              <c:numCache>
                <c:formatCode>General</c:formatCode>
                <c:ptCount val="4"/>
                <c:pt idx="0">
                  <c:v>2671.668371302233</c:v>
                </c:pt>
                <c:pt idx="1">
                  <c:v>1827.6027632067492</c:v>
                </c:pt>
                <c:pt idx="2">
                  <c:v>8330.1802962081183</c:v>
                </c:pt>
                <c:pt idx="3">
                  <c:v>14619.845571090666</c:v>
                </c:pt>
              </c:numCache>
            </c:numRef>
          </c:val>
        </c:ser>
        <c:dLbls>
          <c:showLegendKey val="0"/>
          <c:showVal val="0"/>
          <c:showCatName val="0"/>
          <c:showSerName val="0"/>
          <c:showPercent val="0"/>
          <c:showBubbleSize val="0"/>
        </c:dLbls>
        <c:gapWidth val="150"/>
        <c:axId val="263830528"/>
        <c:axId val="263832320"/>
      </c:barChart>
      <c:lineChart>
        <c:grouping val="standard"/>
        <c:varyColors val="0"/>
        <c:ser>
          <c:idx val="2"/>
          <c:order val="2"/>
          <c:tx>
            <c:strRef>
              <c:f>'Table 1 - Table 1'!$I$12</c:f>
              <c:strCache>
                <c:ptCount val="1"/>
              </c:strCache>
            </c:strRef>
          </c:tx>
          <c:spPr>
            <a:ln w="28575" cap="rnd" cmpd="sng" algn="ctr">
              <a:noFill/>
              <a:prstDash val="solid"/>
              <a:round/>
            </a:ln>
            <a:effectLst/>
            <a:extLst>
              <a:ext uri="{91240B29-F687-4F45-9708-019B960494DF}">
                <a14:hiddenLine xmlns:a14="http://schemas.microsoft.com/office/drawing/2010/main" w="28575" cap="rnd" cmpd="sng" algn="ctr">
                  <a:solidFill>
                    <a:srgbClr val="9BBB59"/>
                  </a:solidFill>
                  <a:prstDash val="solid"/>
                  <a:round/>
                </a14:hiddenLine>
              </a:ext>
            </a:extLst>
          </c:spPr>
          <c:marker>
            <c:symbol val="none"/>
          </c:marker>
          <c:cat>
            <c:strRef>
              <c:f>'Table 1 - Table 1'!$F$13:$F$16</c:f>
              <c:strCache>
                <c:ptCount val="4"/>
                <c:pt idx="0">
                  <c:v>0-2</c:v>
                </c:pt>
                <c:pt idx="1">
                  <c:v>3-64</c:v>
                </c:pt>
                <c:pt idx="2">
                  <c:v>65-79</c:v>
                </c:pt>
                <c:pt idx="3">
                  <c:v>80+</c:v>
                </c:pt>
              </c:strCache>
            </c:strRef>
          </c:cat>
          <c:val>
            <c:numRef>
              <c:f>'Table 1 - Table 1'!$I$13:$I$16</c:f>
              <c:numCache>
                <c:formatCode>General</c:formatCode>
                <c:ptCount val="4"/>
              </c:numCache>
            </c:numRef>
          </c:val>
          <c:smooth val="0"/>
        </c:ser>
        <c:dLbls>
          <c:showLegendKey val="0"/>
          <c:showVal val="0"/>
          <c:showCatName val="0"/>
          <c:showSerName val="0"/>
          <c:showPercent val="0"/>
          <c:showBubbleSize val="0"/>
        </c:dLbls>
        <c:marker val="1"/>
        <c:smooth val="0"/>
        <c:axId val="263840512"/>
        <c:axId val="263834240"/>
      </c:lineChart>
      <c:catAx>
        <c:axId val="263830528"/>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3832320"/>
        <c:crosses val="autoZero"/>
        <c:auto val="1"/>
        <c:lblAlgn val="ctr"/>
        <c:lblOffset val="100"/>
        <c:noMultiLvlLbl val="0"/>
      </c:catAx>
      <c:valAx>
        <c:axId val="263832320"/>
        <c:scaling>
          <c:orientation val="minMax"/>
        </c:scaling>
        <c:delete val="0"/>
        <c:axPos val="l"/>
        <c:title>
          <c:tx>
            <c:rich>
              <a:bodyPr rot="0" vert="horz"/>
              <a:lstStyle/>
              <a:p>
                <a:pPr algn="l">
                  <a:defRPr sz="600" b="0">
                    <a:latin typeface=""/>
                    <a:ea typeface=""/>
                    <a:cs typeface=""/>
                  </a:defRPr>
                </a:pPr>
                <a:r>
                  <a:rPr lang="da-DK"/>
                  <a:t>KMF pr. indbyggere</a:t>
                </a:r>
              </a:p>
            </c:rich>
          </c:tx>
          <c:layout>
            <c:manualLayout>
              <c:xMode val="edge"/>
              <c:yMode val="edge"/>
              <c:x val="1.1111111111111112E-2"/>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830528"/>
        <c:crosses val="autoZero"/>
        <c:crossBetween val="between"/>
      </c:valAx>
      <c:valAx>
        <c:axId val="263834240"/>
        <c:scaling>
          <c:orientation val="minMax"/>
          <c:max val="16000"/>
          <c:min val="0"/>
        </c:scaling>
        <c:delete val="0"/>
        <c:axPos val="r"/>
        <c:title>
          <c:tx>
            <c:rich>
              <a:bodyPr rot="0" vert="horz"/>
              <a:lstStyle/>
              <a:p>
                <a:pPr algn="just">
                  <a:defRPr sz="600" b="0">
                    <a:latin typeface="arial"/>
                    <a:ea typeface="arial"/>
                    <a:cs typeface="arial"/>
                  </a:defRPr>
                </a:pPr>
                <a:r>
                  <a:rPr lang="da-DK"/>
                  <a:t>KMF pr.</a:t>
                </a:r>
                <a:r>
                  <a:rPr lang="da-DK" baseline="0"/>
                  <a:t> indbyggere</a:t>
                </a:r>
                <a:endParaRPr lang="da-DK"/>
              </a:p>
            </c:rich>
          </c:tx>
          <c:layout>
            <c:manualLayout>
              <c:xMode val="edge"/>
              <c:yMode val="edge"/>
              <c:x val="0.9"/>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840512"/>
        <c:crosses val="max"/>
        <c:crossBetween val="between"/>
        <c:majorUnit val="2000"/>
        <c:minorUnit val="400"/>
      </c:valAx>
      <c:catAx>
        <c:axId val="263840512"/>
        <c:scaling>
          <c:orientation val="minMax"/>
        </c:scaling>
        <c:delete val="1"/>
        <c:axPos val="b"/>
        <c:majorTickMark val="out"/>
        <c:minorTickMark val="none"/>
        <c:tickLblPos val="nextTo"/>
        <c:crossAx val="263834240"/>
        <c:crosses val="autoZero"/>
        <c:auto val="1"/>
        <c:lblAlgn val="ctr"/>
        <c:lblOffset val="100"/>
        <c:noMultiLvlLbl val="0"/>
      </c:catAx>
      <c:spPr>
        <a:noFill/>
      </c:spPr>
    </c:plotArea>
    <c:legend>
      <c:legendPos val="b"/>
      <c:overlay val="0"/>
      <c:spPr>
        <a:ln w="25400">
          <a:noFill/>
        </a:ln>
      </c:spPr>
      <c:txPr>
        <a:bodyPr/>
        <a:lstStyle/>
        <a:p>
          <a:pPr>
            <a:defRPr sz="600" b="0">
              <a:latin typeface="arial"/>
              <a:ea typeface="arial"/>
              <a:cs typeface="arial"/>
            </a:defRPr>
          </a:pPr>
          <a:endParaRPr lang="da-DK"/>
        </a:p>
      </c:txPr>
    </c:legend>
    <c:plotVisOnly val="1"/>
    <c:dispBlanksAs val="gap"/>
    <c:showDLblsOverMax val="0"/>
  </c:chart>
  <c:spPr>
    <a:noFill/>
    <a:ln w="9525">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2121582628258"/>
          <c:y val="0.11369565217391303"/>
          <c:w val="0.77909082016921793"/>
          <c:h val="0.49800410818212942"/>
        </c:manualLayout>
      </c:layout>
      <c:barChart>
        <c:barDir val="col"/>
        <c:grouping val="clustered"/>
        <c:varyColors val="0"/>
        <c:ser>
          <c:idx val="0"/>
          <c:order val="0"/>
          <c:tx>
            <c:strRef>
              <c:f>'Table 1 - Table 1'!$G$26</c:f>
              <c:strCache>
                <c:ptCount val="1"/>
                <c:pt idx="0">
                  <c:v>Ny </c:v>
                </c:pt>
              </c:strCache>
            </c:strRef>
          </c:tx>
          <c:spPr>
            <a:solidFill>
              <a:srgbClr val="4F8E4B"/>
            </a:solidFill>
          </c:spPr>
          <c:invertIfNegative val="0"/>
          <c:cat>
            <c:strRef>
              <c:f>'Table 1 - Table 1'!$F$27:$F$33</c:f>
              <c:strCache>
                <c:ptCount val="7"/>
                <c:pt idx="0">
                  <c:v>0-2 årige</c:v>
                </c:pt>
                <c:pt idx="1">
                  <c:v>3-64 årige</c:v>
                </c:pt>
                <c:pt idx="2">
                  <c:v>65-79 årige</c:v>
                </c:pt>
                <c:pt idx="3">
                  <c:v>80+ årige</c:v>
                </c:pt>
                <c:pt idx="4">
                  <c:v>Ældre med. pat.</c:v>
                </c:pt>
                <c:pt idx="5">
                  <c:v>Forebyggelige</c:v>
                </c:pt>
                <c:pt idx="6">
                  <c:v>Genindlæggelser</c:v>
                </c:pt>
              </c:strCache>
            </c:strRef>
          </c:cat>
          <c:val>
            <c:numRef>
              <c:f>'Table 1 - Table 1'!$G$27:$G$33</c:f>
              <c:numCache>
                <c:formatCode>General</c:formatCode>
                <c:ptCount val="7"/>
                <c:pt idx="0">
                  <c:v>136.36271207067213</c:v>
                </c:pt>
                <c:pt idx="1">
                  <c:v>64.093971695905921</c:v>
                </c:pt>
                <c:pt idx="2">
                  <c:v>139.09549430015801</c:v>
                </c:pt>
                <c:pt idx="3">
                  <c:v>171.49423582698606</c:v>
                </c:pt>
                <c:pt idx="4">
                  <c:v>148.03933862750395</c:v>
                </c:pt>
                <c:pt idx="5">
                  <c:v>118.82308648037991</c:v>
                </c:pt>
                <c:pt idx="6">
                  <c:v>116.57581140035983</c:v>
                </c:pt>
              </c:numCache>
            </c:numRef>
          </c:val>
        </c:ser>
        <c:ser>
          <c:idx val="1"/>
          <c:order val="1"/>
          <c:tx>
            <c:strRef>
              <c:f>'Table 1 - Table 1'!$H$26</c:f>
              <c:strCache>
                <c:ptCount val="1"/>
              </c:strCache>
            </c:strRef>
          </c:tx>
          <c:spPr>
            <a:solidFill>
              <a:srgbClr val="B0DB85"/>
            </a:solidFill>
          </c:spPr>
          <c:invertIfNegative val="0"/>
          <c:cat>
            <c:strRef>
              <c:f>'Table 1 - Table 1'!$F$27:$F$33</c:f>
              <c:strCache>
                <c:ptCount val="7"/>
                <c:pt idx="0">
                  <c:v>0-2 årige</c:v>
                </c:pt>
                <c:pt idx="1">
                  <c:v>3-64 årige</c:v>
                </c:pt>
                <c:pt idx="2">
                  <c:v>65-79 årige</c:v>
                </c:pt>
                <c:pt idx="3">
                  <c:v>80+ årige</c:v>
                </c:pt>
                <c:pt idx="4">
                  <c:v>Ældre med. pat.</c:v>
                </c:pt>
                <c:pt idx="5">
                  <c:v>Forebyggelige</c:v>
                </c:pt>
                <c:pt idx="6">
                  <c:v>Genindlæggelser</c:v>
                </c:pt>
              </c:strCache>
            </c:strRef>
          </c:cat>
          <c:val>
            <c:numRef>
              <c:f>'Table 1 - Table 1'!$H$27:$H$33</c:f>
              <c:numCache>
                <c:formatCode>General</c:formatCode>
                <c:ptCount val="7"/>
              </c:numCache>
            </c:numRef>
          </c:val>
        </c:ser>
        <c:dLbls>
          <c:showLegendKey val="0"/>
          <c:showVal val="0"/>
          <c:showCatName val="0"/>
          <c:showSerName val="0"/>
          <c:showPercent val="0"/>
          <c:showBubbleSize val="0"/>
        </c:dLbls>
        <c:gapWidth val="150"/>
        <c:axId val="263871872"/>
        <c:axId val="263890048"/>
      </c:barChart>
      <c:lineChart>
        <c:grouping val="standard"/>
        <c:varyColors val="0"/>
        <c:ser>
          <c:idx val="2"/>
          <c:order val="2"/>
          <c:tx>
            <c:strRef>
              <c:f>'Table 1 - Table 1'!$I$26</c:f>
              <c:strCache>
                <c:ptCount val="1"/>
                <c:pt idx="0">
                  <c:v>eksisterende</c:v>
                </c:pt>
              </c:strCache>
            </c:strRef>
          </c:tx>
          <c:spPr>
            <a:ln w="12700">
              <a:solidFill>
                <a:srgbClr val="000000"/>
              </a:solidFill>
              <a:prstDash val="dash"/>
            </a:ln>
          </c:spPr>
          <c:marker>
            <c:symbol val="none"/>
          </c:marker>
          <c:cat>
            <c:strRef>
              <c:f>'Table 1 - Table 1'!$F$27:$F$33</c:f>
              <c:strCache>
                <c:ptCount val="7"/>
                <c:pt idx="0">
                  <c:v>0-2 årige</c:v>
                </c:pt>
                <c:pt idx="1">
                  <c:v>3-64 årige</c:v>
                </c:pt>
                <c:pt idx="2">
                  <c:v>65-79 årige</c:v>
                </c:pt>
                <c:pt idx="3">
                  <c:v>80+ årige</c:v>
                </c:pt>
                <c:pt idx="4">
                  <c:v>Ældre med. pat.</c:v>
                </c:pt>
                <c:pt idx="5">
                  <c:v>Forebyggelige</c:v>
                </c:pt>
                <c:pt idx="6">
                  <c:v>Genindlæggelser</c:v>
                </c:pt>
              </c:strCache>
            </c:strRef>
          </c:cat>
          <c:val>
            <c:numRef>
              <c:f>'Table 1 - Table 1'!$I$27:$I$33</c:f>
              <c:numCache>
                <c:formatCode>General</c:formatCode>
                <c:ptCount val="7"/>
                <c:pt idx="0">
                  <c:v>100</c:v>
                </c:pt>
                <c:pt idx="1">
                  <c:v>100</c:v>
                </c:pt>
                <c:pt idx="2">
                  <c:v>100</c:v>
                </c:pt>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63894144"/>
        <c:axId val="263891968"/>
      </c:lineChart>
      <c:catAx>
        <c:axId val="263871872"/>
        <c:scaling>
          <c:orientation val="minMax"/>
        </c:scaling>
        <c:delete val="0"/>
        <c:axPos val="b"/>
        <c:majorTickMark val="out"/>
        <c:minorTickMark val="none"/>
        <c:tickLblPos val="nextTo"/>
        <c:txPr>
          <a:bodyPr/>
          <a:lstStyle/>
          <a:p>
            <a:pPr>
              <a:defRPr sz="600" b="0">
                <a:latin typeface="arial"/>
                <a:ea typeface="arial"/>
                <a:cs typeface="arial"/>
              </a:defRPr>
            </a:pPr>
            <a:endParaRPr lang="da-DK"/>
          </a:p>
        </c:txPr>
        <c:crossAx val="263890048"/>
        <c:crosses val="autoZero"/>
        <c:auto val="1"/>
        <c:lblAlgn val="ctr"/>
        <c:lblOffset val="100"/>
        <c:noMultiLvlLbl val="0"/>
      </c:catAx>
      <c:valAx>
        <c:axId val="263890048"/>
        <c:scaling>
          <c:orientation val="minMax"/>
          <c:min val="50"/>
        </c:scaling>
        <c:delete val="0"/>
        <c:axPos val="l"/>
        <c:title>
          <c:tx>
            <c:rich>
              <a:bodyPr rot="0" vert="horz"/>
              <a:lstStyle/>
              <a:p>
                <a:pPr>
                  <a:defRPr sz="600" b="0">
                    <a:latin typeface=""/>
                    <a:ea typeface=""/>
                    <a:cs typeface=""/>
                  </a:defRPr>
                </a:pPr>
                <a:r>
                  <a:rPr lang="da-DK"/>
                  <a:t>Indeks </a:t>
                </a:r>
              </a:p>
            </c:rich>
          </c:tx>
          <c:layout>
            <c:manualLayout>
              <c:xMode val="edge"/>
              <c:yMode val="edge"/>
              <c:x val="1.1111111111111112E-2"/>
              <c:y val="1.8518518518518517E-2"/>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871872"/>
        <c:crosses val="autoZero"/>
        <c:crossBetween val="between"/>
      </c:valAx>
      <c:valAx>
        <c:axId val="263891968"/>
        <c:scaling>
          <c:orientation val="minMax"/>
          <c:max val="190"/>
          <c:min val="50"/>
        </c:scaling>
        <c:delete val="0"/>
        <c:axPos val="r"/>
        <c:title>
          <c:tx>
            <c:rich>
              <a:bodyPr rot="0" vert="horz"/>
              <a:lstStyle/>
              <a:p>
                <a:pPr>
                  <a:defRPr sz="600" b="0">
                    <a:latin typeface="arial"/>
                    <a:ea typeface="arial"/>
                    <a:cs typeface="arial"/>
                  </a:defRPr>
                </a:pPr>
                <a:r>
                  <a:rPr lang="da-DK"/>
                  <a:t>Indeks </a:t>
                </a:r>
              </a:p>
            </c:rich>
          </c:tx>
          <c:layout>
            <c:manualLayout>
              <c:xMode val="edge"/>
              <c:yMode val="edge"/>
              <c:x val="0.8529813664596273"/>
              <c:y val="4.0260184868195839E-3"/>
            </c:manualLayout>
          </c:layout>
          <c:overlay val="0"/>
        </c:title>
        <c:numFmt formatCode="General" sourceLinked="1"/>
        <c:majorTickMark val="out"/>
        <c:minorTickMark val="none"/>
        <c:tickLblPos val="nextTo"/>
        <c:txPr>
          <a:bodyPr/>
          <a:lstStyle/>
          <a:p>
            <a:pPr>
              <a:defRPr sz="600" b="0">
                <a:latin typeface="arial"/>
                <a:ea typeface="arial"/>
                <a:cs typeface="arial"/>
              </a:defRPr>
            </a:pPr>
            <a:endParaRPr lang="da-DK"/>
          </a:p>
        </c:txPr>
        <c:crossAx val="263894144"/>
        <c:crosses val="max"/>
        <c:crossBetween val="between"/>
        <c:majorUnit val="20"/>
        <c:minorUnit val="4"/>
      </c:valAx>
      <c:catAx>
        <c:axId val="263894144"/>
        <c:scaling>
          <c:orientation val="minMax"/>
        </c:scaling>
        <c:delete val="1"/>
        <c:axPos val="b"/>
        <c:majorTickMark val="out"/>
        <c:minorTickMark val="none"/>
        <c:tickLblPos val="nextTo"/>
        <c:crossAx val="263891968"/>
        <c:crosses val="autoZero"/>
        <c:auto val="1"/>
        <c:lblAlgn val="ctr"/>
        <c:lblOffset val="100"/>
        <c:noMultiLvlLbl val="0"/>
      </c:catAx>
      <c:spPr>
        <a:noFill/>
      </c:spPr>
    </c:plotArea>
    <c:legend>
      <c:legendPos val="b"/>
      <c:legendEntry>
        <c:idx val="1"/>
        <c:delete val="1"/>
      </c:legendEntry>
      <c:overlay val="0"/>
      <c:spPr>
        <a:ln w="25400">
          <a:noFill/>
        </a:ln>
      </c:spPr>
      <c:txPr>
        <a:bodyPr/>
        <a:lstStyle/>
        <a:p>
          <a:pPr>
            <a:defRPr sz="600" b="0">
              <a:latin typeface="arial"/>
              <a:ea typeface="arial"/>
              <a:cs typeface="arial"/>
            </a:defRPr>
          </a:pPr>
          <a:endParaRPr lang="da-DK"/>
        </a:p>
      </c:txPr>
    </c:legend>
    <c:plotVisOnly val="1"/>
    <c:dispBlanksAs val="gap"/>
    <c:showDLblsOverMax val="0"/>
  </c:chart>
  <c:spPr>
    <a:noFill/>
    <a:ln w="9525">
      <a:noFill/>
    </a:ln>
  </c:spPr>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DS The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S Theme">
    <a:majorFont>
      <a:latin typeface="Courier New"/>
      <a:ea typeface=""/>
      <a:cs typeface=""/>
    </a:majorFont>
    <a:minorFont>
      <a:latin typeface="Courier New"/>
      <a:ea typeface=""/>
      <a:cs typeface=""/>
    </a:minorFont>
  </a:fontScheme>
  <a:fmtScheme name="ODS Theme">
    <a:fillStyleLst>
      <a:solidFill>
        <a:schemeClr val="phClr"/>
      </a:solidFill>
      <a:solidFill>
        <a:schemeClr val="phClr"/>
      </a:solidFill>
      <a:solidFill>
        <a:schemeClr val="phClr"/>
      </a:solidFill>
    </a:fillStyleLst>
    <a:lnStyleLst>
      <a:ln w="9525"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Override>
</file>

<file path=word/theme/themeOverride2.xml><?xml version="1.0" encoding="utf-8"?>
<a:themeOverride xmlns:a="http://schemas.openxmlformats.org/drawingml/2006/main">
  <a:clrScheme name="ODS The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S Theme">
    <a:majorFont>
      <a:latin typeface="Courier New"/>
      <a:ea typeface=""/>
      <a:cs typeface=""/>
    </a:majorFont>
    <a:minorFont>
      <a:latin typeface="Courier New"/>
      <a:ea typeface=""/>
      <a:cs typeface=""/>
    </a:minorFont>
  </a:fontScheme>
  <a:fmtScheme name="ODS Theme">
    <a:fillStyleLst>
      <a:solidFill>
        <a:schemeClr val="phClr"/>
      </a:solidFill>
      <a:solidFill>
        <a:schemeClr val="phClr"/>
      </a:solidFill>
      <a:solidFill>
        <a:schemeClr val="phClr"/>
      </a:solidFill>
    </a:fillStyleLst>
    <a:lnStyleLst>
      <a:ln w="9525"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Override>
</file>

<file path=word/theme/themeOverride3.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DS The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S Theme">
    <a:majorFont>
      <a:latin typeface="Courier New"/>
      <a:ea typeface=""/>
      <a:cs typeface=""/>
    </a:majorFont>
    <a:minorFont>
      <a:latin typeface="Courier New"/>
      <a:ea typeface=""/>
      <a:cs typeface=""/>
    </a:minorFont>
  </a:fontScheme>
  <a:fmtScheme name="ODS Theme">
    <a:fillStyleLst>
      <a:solidFill>
        <a:schemeClr val="phClr"/>
      </a:solidFill>
      <a:solidFill>
        <a:schemeClr val="phClr"/>
      </a:solidFill>
      <a:solidFill>
        <a:schemeClr val="phClr"/>
      </a:solidFill>
    </a:fillStyleLst>
    <a:lnStyleLst>
      <a:ln w="9525"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DB63-BB94-4EEE-8E9D-C02EE498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7342</Words>
  <Characters>44788</Characters>
  <Application>Microsoft Office Word</Application>
  <DocSecurity>0</DocSecurity>
  <Lines>373</Lines>
  <Paragraphs>104</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Gantzel Christiansen</dc:creator>
  <cp:lastModifiedBy>Stephanie Gantzel Christiansen</cp:lastModifiedBy>
  <cp:revision>2</cp:revision>
  <cp:lastPrinted>2016-05-19T09:16:00Z</cp:lastPrinted>
  <dcterms:created xsi:type="dcterms:W3CDTF">2016-05-19T09:46:00Z</dcterms:created>
  <dcterms:modified xsi:type="dcterms:W3CDTF">2016-05-19T09:46:00Z</dcterms:modified>
</cp:coreProperties>
</file>