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FC" w:rsidRDefault="002C4225" w:rsidP="00157C04">
      <w:pPr>
        <w:pStyle w:val="Overskrift1"/>
        <w:numPr>
          <w:ilvl w:val="0"/>
          <w:numId w:val="0"/>
        </w:numPr>
        <w:ind w:left="432" w:hanging="432"/>
      </w:pPr>
      <w:bookmarkStart w:id="0" w:name="_Toc532903341"/>
      <w:bookmarkStart w:id="1" w:name="_Toc532903579"/>
      <w:bookmarkStart w:id="2" w:name="_GoBack"/>
      <w:bookmarkEnd w:id="2"/>
      <w:r>
        <w:t>Forord</w:t>
      </w:r>
      <w:bookmarkEnd w:id="0"/>
      <w:bookmarkEnd w:id="1"/>
    </w:p>
    <w:p w:rsidR="002C4225" w:rsidRPr="002C4225" w:rsidRDefault="002C4225" w:rsidP="002C4225"/>
    <w:p w:rsidR="00A40739" w:rsidRDefault="00C7147A" w:rsidP="002C4225">
      <w:pPr>
        <w:pStyle w:val="Resum"/>
      </w:pPr>
      <w:r w:rsidRPr="00C7147A">
        <w:t>Når kommunernes</w:t>
      </w:r>
      <w:r>
        <w:t xml:space="preserve"> budgetter diskuteres, er det alt overvejende budgetternes vedtagelse, som påkalder sig interesse. </w:t>
      </w:r>
      <w:r w:rsidR="00A40739">
        <w:t>Der er imidlertid eb betydende forskel på kommunernes overholdelse af deres vedtagne budgetter. Det er denne sidste problematik, som gøres til genstand for analyse i dette arbejdspapir. Hovedsigtet er at undersøge, hvorvidt der gælder bestemte mønstre, så der kan gives en nærmere gennemgående karakteristik af de kommuner, som er særlig tilbøjelige til at overskride de budgetter, de selv har vedtaget.</w:t>
      </w:r>
    </w:p>
    <w:p w:rsidR="00A40739" w:rsidRDefault="00A40739" w:rsidP="002C4225">
      <w:pPr>
        <w:pStyle w:val="Resum"/>
      </w:pPr>
      <w:r>
        <w:t>Analysen er en opfølgning på en tidligere analyse af kommunernes budgetoverholdelse i 2008, fremlagt i CEPOS arbejdspapir nr. 6 fra 2009: Budgetdisciplin i kommunerne af Henrik Christoffersen og Karsten Bo Larsen.</w:t>
      </w:r>
    </w:p>
    <w:p w:rsidR="00A40739" w:rsidRDefault="00A40739" w:rsidP="002C4225">
      <w:pPr>
        <w:pStyle w:val="Resum"/>
      </w:pPr>
      <w:r>
        <w:t>Nærværende arbejdspapir er udarbejdet af økonomistuderende ved Columbia University i New York, Tobias</w:t>
      </w:r>
      <w:r w:rsidRPr="00A40739">
        <w:rPr>
          <w:sz w:val="40"/>
          <w:szCs w:val="40"/>
        </w:rPr>
        <w:t xml:space="preserve"> </w:t>
      </w:r>
      <w:r w:rsidRPr="00A40739">
        <w:t>Heide-Winther</w:t>
      </w:r>
      <w:r>
        <w:t>.</w:t>
      </w:r>
    </w:p>
    <w:p w:rsidR="00A40739" w:rsidRDefault="00A40739" w:rsidP="002C4225">
      <w:pPr>
        <w:pStyle w:val="Resum"/>
      </w:pPr>
    </w:p>
    <w:p w:rsidR="00A40739" w:rsidRDefault="003336AC" w:rsidP="002C4225">
      <w:pPr>
        <w:pStyle w:val="Resum"/>
      </w:pPr>
      <w:r>
        <w:t>Dec</w:t>
      </w:r>
      <w:r w:rsidR="00A40739">
        <w:t>ember 2018</w:t>
      </w:r>
    </w:p>
    <w:p w:rsidR="00A40739" w:rsidRDefault="00A40739" w:rsidP="002C4225">
      <w:pPr>
        <w:pStyle w:val="Resum"/>
      </w:pPr>
    </w:p>
    <w:p w:rsidR="00A40739" w:rsidRDefault="00A40739" w:rsidP="002C4225">
      <w:pPr>
        <w:pStyle w:val="Resum"/>
      </w:pPr>
      <w:r>
        <w:t>Henrik Christoffersen</w:t>
      </w:r>
    </w:p>
    <w:p w:rsidR="00157C04" w:rsidRDefault="00A40739" w:rsidP="00157C04">
      <w:pPr>
        <w:pStyle w:val="Resum"/>
        <w:rPr>
          <w:rFonts w:ascii="Times New Roman" w:hAnsi="Times New Roman"/>
          <w:sz w:val="28"/>
          <w:szCs w:val="28"/>
        </w:rPr>
      </w:pPr>
      <w:r>
        <w:t>Forskningschef i CEPOS</w:t>
      </w:r>
      <w:r w:rsidR="00066132" w:rsidRPr="00C7147A">
        <w:br w:type="page"/>
      </w:r>
    </w:p>
    <w:bookmarkStart w:id="3" w:name="_Toc532903580" w:displacedByCustomXml="next"/>
    <w:sdt>
      <w:sdtPr>
        <w:rPr>
          <w:rFonts w:ascii="Lato" w:eastAsiaTheme="minorHAnsi" w:hAnsi="Lato" w:cs="Times New Roman"/>
          <w:bCs w:val="0"/>
          <w:color w:val="auto"/>
          <w:sz w:val="22"/>
          <w:szCs w:val="22"/>
        </w:rPr>
        <w:id w:val="-1113671615"/>
        <w:docPartObj>
          <w:docPartGallery w:val="Table of Contents"/>
          <w:docPartUnique/>
        </w:docPartObj>
      </w:sdtPr>
      <w:sdtEndPr>
        <w:rPr>
          <w:b/>
        </w:rPr>
      </w:sdtEndPr>
      <w:sdtContent>
        <w:p w:rsidR="00157C04" w:rsidRDefault="00157C04" w:rsidP="00157C04">
          <w:pPr>
            <w:pStyle w:val="Overskrift1"/>
            <w:numPr>
              <w:ilvl w:val="0"/>
              <w:numId w:val="0"/>
            </w:numPr>
            <w:ind w:left="432" w:hanging="432"/>
          </w:pPr>
          <w:r>
            <w:t>Indhold</w:t>
          </w:r>
          <w:bookmarkEnd w:id="3"/>
        </w:p>
        <w:p w:rsidR="00157C04" w:rsidRDefault="00157C04">
          <w:pPr>
            <w:pStyle w:val="Indholdsfortegnelse1"/>
            <w:rPr>
              <w:b/>
              <w:bCs/>
            </w:rPr>
          </w:pPr>
        </w:p>
        <w:p w:rsidR="00157C04" w:rsidRDefault="00157C04">
          <w:pPr>
            <w:pStyle w:val="Indholdsfortegnelse1"/>
            <w:rPr>
              <w:rFonts w:asciiTheme="minorHAnsi" w:eastAsiaTheme="minorEastAsia" w:hAnsiTheme="minorHAnsi" w:cstheme="minorBidi"/>
              <w:noProof/>
              <w:lang w:eastAsia="da-DK"/>
            </w:rPr>
          </w:pPr>
          <w:r>
            <w:rPr>
              <w:b/>
              <w:bCs/>
            </w:rPr>
            <w:fldChar w:fldCharType="begin"/>
          </w:r>
          <w:r>
            <w:rPr>
              <w:b/>
              <w:bCs/>
            </w:rPr>
            <w:instrText xml:space="preserve"> TOC \o "1-3" \h \z \u </w:instrText>
          </w:r>
          <w:r>
            <w:rPr>
              <w:b/>
              <w:bCs/>
            </w:rPr>
            <w:fldChar w:fldCharType="separate"/>
          </w:r>
          <w:hyperlink w:anchor="_Toc532903579" w:history="1">
            <w:r w:rsidRPr="00C45162">
              <w:rPr>
                <w:rStyle w:val="Hyperlink"/>
                <w:noProof/>
              </w:rPr>
              <w:t>Forord</w:t>
            </w:r>
            <w:r>
              <w:rPr>
                <w:noProof/>
                <w:webHidden/>
              </w:rPr>
              <w:tab/>
            </w:r>
            <w:r>
              <w:rPr>
                <w:noProof/>
                <w:webHidden/>
              </w:rPr>
              <w:fldChar w:fldCharType="begin"/>
            </w:r>
            <w:r>
              <w:rPr>
                <w:noProof/>
                <w:webHidden/>
              </w:rPr>
              <w:instrText xml:space="preserve"> PAGEREF _Toc532903579 \h </w:instrText>
            </w:r>
            <w:r>
              <w:rPr>
                <w:noProof/>
                <w:webHidden/>
              </w:rPr>
            </w:r>
            <w:r>
              <w:rPr>
                <w:noProof/>
                <w:webHidden/>
              </w:rPr>
              <w:fldChar w:fldCharType="separate"/>
            </w:r>
            <w:r>
              <w:rPr>
                <w:noProof/>
                <w:webHidden/>
              </w:rPr>
              <w:t>1</w:t>
            </w:r>
            <w:r>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0" w:history="1">
            <w:r w:rsidR="00157C04" w:rsidRPr="00C45162">
              <w:rPr>
                <w:rStyle w:val="Hyperlink"/>
                <w:noProof/>
              </w:rPr>
              <w:t>Indhold</w:t>
            </w:r>
            <w:r w:rsidR="00157C04">
              <w:rPr>
                <w:noProof/>
                <w:webHidden/>
              </w:rPr>
              <w:tab/>
            </w:r>
            <w:r w:rsidR="00157C04">
              <w:rPr>
                <w:noProof/>
                <w:webHidden/>
              </w:rPr>
              <w:fldChar w:fldCharType="begin"/>
            </w:r>
            <w:r w:rsidR="00157C04">
              <w:rPr>
                <w:noProof/>
                <w:webHidden/>
              </w:rPr>
              <w:instrText xml:space="preserve"> PAGEREF _Toc532903580 \h </w:instrText>
            </w:r>
            <w:r w:rsidR="00157C04">
              <w:rPr>
                <w:noProof/>
                <w:webHidden/>
              </w:rPr>
            </w:r>
            <w:r w:rsidR="00157C04">
              <w:rPr>
                <w:noProof/>
                <w:webHidden/>
              </w:rPr>
              <w:fldChar w:fldCharType="separate"/>
            </w:r>
            <w:r w:rsidR="00157C04">
              <w:rPr>
                <w:noProof/>
                <w:webHidden/>
              </w:rPr>
              <w:t>2</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1" w:history="1">
            <w:r w:rsidR="00157C04" w:rsidRPr="00C45162">
              <w:rPr>
                <w:rStyle w:val="Hyperlink"/>
                <w:noProof/>
              </w:rPr>
              <w:t>1</w:t>
            </w:r>
            <w:r w:rsidR="00157C04">
              <w:rPr>
                <w:rFonts w:asciiTheme="minorHAnsi" w:eastAsiaTheme="minorEastAsia" w:hAnsiTheme="minorHAnsi" w:cstheme="minorBidi"/>
                <w:noProof/>
                <w:lang w:eastAsia="da-DK"/>
              </w:rPr>
              <w:tab/>
            </w:r>
            <w:r w:rsidR="00157C04" w:rsidRPr="00C45162">
              <w:rPr>
                <w:rStyle w:val="Hyperlink"/>
                <w:noProof/>
              </w:rPr>
              <w:t>Sammenfatning</w:t>
            </w:r>
            <w:r w:rsidR="00157C04">
              <w:rPr>
                <w:noProof/>
                <w:webHidden/>
              </w:rPr>
              <w:tab/>
            </w:r>
            <w:r w:rsidR="00157C04">
              <w:rPr>
                <w:noProof/>
                <w:webHidden/>
              </w:rPr>
              <w:fldChar w:fldCharType="begin"/>
            </w:r>
            <w:r w:rsidR="00157C04">
              <w:rPr>
                <w:noProof/>
                <w:webHidden/>
              </w:rPr>
              <w:instrText xml:space="preserve"> PAGEREF _Toc532903581 \h </w:instrText>
            </w:r>
            <w:r w:rsidR="00157C04">
              <w:rPr>
                <w:noProof/>
                <w:webHidden/>
              </w:rPr>
            </w:r>
            <w:r w:rsidR="00157C04">
              <w:rPr>
                <w:noProof/>
                <w:webHidden/>
              </w:rPr>
              <w:fldChar w:fldCharType="separate"/>
            </w:r>
            <w:r w:rsidR="00157C04">
              <w:rPr>
                <w:noProof/>
                <w:webHidden/>
              </w:rPr>
              <w:t>3</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2" w:history="1">
            <w:r w:rsidR="00157C04" w:rsidRPr="00C45162">
              <w:rPr>
                <w:rStyle w:val="Hyperlink"/>
                <w:rFonts w:eastAsia="Calibri"/>
                <w:noProof/>
                <w:lang w:val="en-US"/>
              </w:rPr>
              <w:t>2</w:t>
            </w:r>
            <w:r w:rsidR="00157C04">
              <w:rPr>
                <w:rFonts w:asciiTheme="minorHAnsi" w:eastAsiaTheme="minorEastAsia" w:hAnsiTheme="minorHAnsi" w:cstheme="minorBidi"/>
                <w:noProof/>
                <w:lang w:eastAsia="da-DK"/>
              </w:rPr>
              <w:tab/>
            </w:r>
            <w:r w:rsidR="00157C04" w:rsidRPr="00C45162">
              <w:rPr>
                <w:rStyle w:val="Hyperlink"/>
                <w:rFonts w:eastAsia="Calibri"/>
                <w:noProof/>
                <w:lang w:val="en-US"/>
              </w:rPr>
              <w:t>English Abstract</w:t>
            </w:r>
            <w:r w:rsidR="00157C04">
              <w:rPr>
                <w:noProof/>
                <w:webHidden/>
              </w:rPr>
              <w:tab/>
            </w:r>
            <w:r w:rsidR="00157C04">
              <w:rPr>
                <w:noProof/>
                <w:webHidden/>
              </w:rPr>
              <w:fldChar w:fldCharType="begin"/>
            </w:r>
            <w:r w:rsidR="00157C04">
              <w:rPr>
                <w:noProof/>
                <w:webHidden/>
              </w:rPr>
              <w:instrText xml:space="preserve"> PAGEREF _Toc532903582 \h </w:instrText>
            </w:r>
            <w:r w:rsidR="00157C04">
              <w:rPr>
                <w:noProof/>
                <w:webHidden/>
              </w:rPr>
            </w:r>
            <w:r w:rsidR="00157C04">
              <w:rPr>
                <w:noProof/>
                <w:webHidden/>
              </w:rPr>
              <w:fldChar w:fldCharType="separate"/>
            </w:r>
            <w:r w:rsidR="00157C04">
              <w:rPr>
                <w:noProof/>
                <w:webHidden/>
              </w:rPr>
              <w:t>4</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3" w:history="1">
            <w:r w:rsidR="00157C04" w:rsidRPr="00C45162">
              <w:rPr>
                <w:rStyle w:val="Hyperlink"/>
                <w:noProof/>
              </w:rPr>
              <w:t>3</w:t>
            </w:r>
            <w:r w:rsidR="00157C04">
              <w:rPr>
                <w:rFonts w:asciiTheme="minorHAnsi" w:eastAsiaTheme="minorEastAsia" w:hAnsiTheme="minorHAnsi" w:cstheme="minorBidi"/>
                <w:noProof/>
                <w:lang w:eastAsia="da-DK"/>
              </w:rPr>
              <w:tab/>
            </w:r>
            <w:r w:rsidR="00157C04" w:rsidRPr="00C45162">
              <w:rPr>
                <w:rStyle w:val="Hyperlink"/>
                <w:noProof/>
              </w:rPr>
              <w:t>Budgetdisciplin i kommunerne</w:t>
            </w:r>
            <w:r w:rsidR="00157C04">
              <w:rPr>
                <w:noProof/>
                <w:webHidden/>
              </w:rPr>
              <w:tab/>
            </w:r>
            <w:r w:rsidR="00157C04">
              <w:rPr>
                <w:noProof/>
                <w:webHidden/>
              </w:rPr>
              <w:fldChar w:fldCharType="begin"/>
            </w:r>
            <w:r w:rsidR="00157C04">
              <w:rPr>
                <w:noProof/>
                <w:webHidden/>
              </w:rPr>
              <w:instrText xml:space="preserve"> PAGEREF _Toc532903583 \h </w:instrText>
            </w:r>
            <w:r w:rsidR="00157C04">
              <w:rPr>
                <w:noProof/>
                <w:webHidden/>
              </w:rPr>
            </w:r>
            <w:r w:rsidR="00157C04">
              <w:rPr>
                <w:noProof/>
                <w:webHidden/>
              </w:rPr>
              <w:fldChar w:fldCharType="separate"/>
            </w:r>
            <w:r w:rsidR="00157C04">
              <w:rPr>
                <w:noProof/>
                <w:webHidden/>
              </w:rPr>
              <w:t>5</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4" w:history="1">
            <w:r w:rsidR="00157C04" w:rsidRPr="00C45162">
              <w:rPr>
                <w:rStyle w:val="Hyperlink"/>
                <w:noProof/>
              </w:rPr>
              <w:t>4</w:t>
            </w:r>
            <w:r w:rsidR="00157C04">
              <w:rPr>
                <w:rFonts w:asciiTheme="minorHAnsi" w:eastAsiaTheme="minorEastAsia" w:hAnsiTheme="minorHAnsi" w:cstheme="minorBidi"/>
                <w:noProof/>
                <w:lang w:eastAsia="da-DK"/>
              </w:rPr>
              <w:tab/>
            </w:r>
            <w:r w:rsidR="00157C04" w:rsidRPr="00C45162">
              <w:rPr>
                <w:rStyle w:val="Hyperlink"/>
                <w:noProof/>
              </w:rPr>
              <w:t>Budgetoverholdelsen i kommunerne</w:t>
            </w:r>
            <w:r w:rsidR="00157C04">
              <w:rPr>
                <w:noProof/>
                <w:webHidden/>
              </w:rPr>
              <w:tab/>
            </w:r>
            <w:r w:rsidR="00157C04">
              <w:rPr>
                <w:noProof/>
                <w:webHidden/>
              </w:rPr>
              <w:fldChar w:fldCharType="begin"/>
            </w:r>
            <w:r w:rsidR="00157C04">
              <w:rPr>
                <w:noProof/>
                <w:webHidden/>
              </w:rPr>
              <w:instrText xml:space="preserve"> PAGEREF _Toc532903584 \h </w:instrText>
            </w:r>
            <w:r w:rsidR="00157C04">
              <w:rPr>
                <w:noProof/>
                <w:webHidden/>
              </w:rPr>
            </w:r>
            <w:r w:rsidR="00157C04">
              <w:rPr>
                <w:noProof/>
                <w:webHidden/>
              </w:rPr>
              <w:fldChar w:fldCharType="separate"/>
            </w:r>
            <w:r w:rsidR="00157C04">
              <w:rPr>
                <w:noProof/>
                <w:webHidden/>
              </w:rPr>
              <w:t>8</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5" w:history="1">
            <w:r w:rsidR="00157C04" w:rsidRPr="00C45162">
              <w:rPr>
                <w:rStyle w:val="Hyperlink"/>
                <w:noProof/>
              </w:rPr>
              <w:t>5</w:t>
            </w:r>
            <w:r w:rsidR="00157C04">
              <w:rPr>
                <w:rFonts w:asciiTheme="minorHAnsi" w:eastAsiaTheme="minorEastAsia" w:hAnsiTheme="minorHAnsi" w:cstheme="minorBidi"/>
                <w:noProof/>
                <w:lang w:eastAsia="da-DK"/>
              </w:rPr>
              <w:tab/>
            </w:r>
            <w:r w:rsidR="00157C04" w:rsidRPr="00C45162">
              <w:rPr>
                <w:rStyle w:val="Hyperlink"/>
                <w:noProof/>
              </w:rPr>
              <w:t>Mulige forklaringer på budgetoverskridelser</w:t>
            </w:r>
            <w:r w:rsidR="00157C04">
              <w:rPr>
                <w:noProof/>
                <w:webHidden/>
              </w:rPr>
              <w:tab/>
            </w:r>
            <w:r w:rsidR="00157C04">
              <w:rPr>
                <w:noProof/>
                <w:webHidden/>
              </w:rPr>
              <w:fldChar w:fldCharType="begin"/>
            </w:r>
            <w:r w:rsidR="00157C04">
              <w:rPr>
                <w:noProof/>
                <w:webHidden/>
              </w:rPr>
              <w:instrText xml:space="preserve"> PAGEREF _Toc532903585 \h </w:instrText>
            </w:r>
            <w:r w:rsidR="00157C04">
              <w:rPr>
                <w:noProof/>
                <w:webHidden/>
              </w:rPr>
            </w:r>
            <w:r w:rsidR="00157C04">
              <w:rPr>
                <w:noProof/>
                <w:webHidden/>
              </w:rPr>
              <w:fldChar w:fldCharType="separate"/>
            </w:r>
            <w:r w:rsidR="00157C04">
              <w:rPr>
                <w:noProof/>
                <w:webHidden/>
              </w:rPr>
              <w:t>12</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6" w:history="1">
            <w:r w:rsidR="00157C04" w:rsidRPr="00C45162">
              <w:rPr>
                <w:rStyle w:val="Hyperlink"/>
                <w:noProof/>
              </w:rPr>
              <w:t>6</w:t>
            </w:r>
            <w:r w:rsidR="00157C04">
              <w:rPr>
                <w:rFonts w:asciiTheme="minorHAnsi" w:eastAsiaTheme="minorEastAsia" w:hAnsiTheme="minorHAnsi" w:cstheme="minorBidi"/>
                <w:noProof/>
                <w:lang w:eastAsia="da-DK"/>
              </w:rPr>
              <w:tab/>
            </w:r>
            <w:r w:rsidR="00157C04" w:rsidRPr="00C45162">
              <w:rPr>
                <w:rStyle w:val="Hyperlink"/>
                <w:noProof/>
              </w:rPr>
              <w:t>Resultaterne af den statistiske analyse</w:t>
            </w:r>
            <w:r w:rsidR="00157C04">
              <w:rPr>
                <w:noProof/>
                <w:webHidden/>
              </w:rPr>
              <w:tab/>
            </w:r>
            <w:r w:rsidR="00157C04">
              <w:rPr>
                <w:noProof/>
                <w:webHidden/>
              </w:rPr>
              <w:fldChar w:fldCharType="begin"/>
            </w:r>
            <w:r w:rsidR="00157C04">
              <w:rPr>
                <w:noProof/>
                <w:webHidden/>
              </w:rPr>
              <w:instrText xml:space="preserve"> PAGEREF _Toc532903586 \h </w:instrText>
            </w:r>
            <w:r w:rsidR="00157C04">
              <w:rPr>
                <w:noProof/>
                <w:webHidden/>
              </w:rPr>
            </w:r>
            <w:r w:rsidR="00157C04">
              <w:rPr>
                <w:noProof/>
                <w:webHidden/>
              </w:rPr>
              <w:fldChar w:fldCharType="separate"/>
            </w:r>
            <w:r w:rsidR="00157C04">
              <w:rPr>
                <w:noProof/>
                <w:webHidden/>
              </w:rPr>
              <w:t>14</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7" w:history="1">
            <w:r w:rsidR="00157C04" w:rsidRPr="00C45162">
              <w:rPr>
                <w:rStyle w:val="Hyperlink"/>
                <w:noProof/>
              </w:rPr>
              <w:t>7</w:t>
            </w:r>
            <w:r w:rsidR="00157C04">
              <w:rPr>
                <w:rFonts w:asciiTheme="minorHAnsi" w:eastAsiaTheme="minorEastAsia" w:hAnsiTheme="minorHAnsi" w:cstheme="minorBidi"/>
                <w:noProof/>
                <w:lang w:eastAsia="da-DK"/>
              </w:rPr>
              <w:tab/>
            </w:r>
            <w:r w:rsidR="00157C04" w:rsidRPr="00C45162">
              <w:rPr>
                <w:rStyle w:val="Hyperlink"/>
                <w:noProof/>
              </w:rPr>
              <w:t>Veje til sikring af budgetdisciplin</w:t>
            </w:r>
            <w:r w:rsidR="00157C04">
              <w:rPr>
                <w:noProof/>
                <w:webHidden/>
              </w:rPr>
              <w:tab/>
            </w:r>
            <w:r w:rsidR="00157C04">
              <w:rPr>
                <w:noProof/>
                <w:webHidden/>
              </w:rPr>
              <w:fldChar w:fldCharType="begin"/>
            </w:r>
            <w:r w:rsidR="00157C04">
              <w:rPr>
                <w:noProof/>
                <w:webHidden/>
              </w:rPr>
              <w:instrText xml:space="preserve"> PAGEREF _Toc532903587 \h </w:instrText>
            </w:r>
            <w:r w:rsidR="00157C04">
              <w:rPr>
                <w:noProof/>
                <w:webHidden/>
              </w:rPr>
            </w:r>
            <w:r w:rsidR="00157C04">
              <w:rPr>
                <w:noProof/>
                <w:webHidden/>
              </w:rPr>
              <w:fldChar w:fldCharType="separate"/>
            </w:r>
            <w:r w:rsidR="00157C04">
              <w:rPr>
                <w:noProof/>
                <w:webHidden/>
              </w:rPr>
              <w:t>19</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8" w:history="1">
            <w:r w:rsidR="00157C04" w:rsidRPr="00C45162">
              <w:rPr>
                <w:rStyle w:val="Hyperlink"/>
                <w:noProof/>
              </w:rPr>
              <w:t>Referencer</w:t>
            </w:r>
            <w:r w:rsidR="00157C04">
              <w:rPr>
                <w:noProof/>
                <w:webHidden/>
              </w:rPr>
              <w:tab/>
            </w:r>
            <w:r w:rsidR="00157C04">
              <w:rPr>
                <w:noProof/>
                <w:webHidden/>
              </w:rPr>
              <w:fldChar w:fldCharType="begin"/>
            </w:r>
            <w:r w:rsidR="00157C04">
              <w:rPr>
                <w:noProof/>
                <w:webHidden/>
              </w:rPr>
              <w:instrText xml:space="preserve"> PAGEREF _Toc532903588 \h </w:instrText>
            </w:r>
            <w:r w:rsidR="00157C04">
              <w:rPr>
                <w:noProof/>
                <w:webHidden/>
              </w:rPr>
            </w:r>
            <w:r w:rsidR="00157C04">
              <w:rPr>
                <w:noProof/>
                <w:webHidden/>
              </w:rPr>
              <w:fldChar w:fldCharType="separate"/>
            </w:r>
            <w:r w:rsidR="00157C04">
              <w:rPr>
                <w:noProof/>
                <w:webHidden/>
              </w:rPr>
              <w:t>20</w:t>
            </w:r>
            <w:r w:rsidR="00157C04">
              <w:rPr>
                <w:noProof/>
                <w:webHidden/>
              </w:rPr>
              <w:fldChar w:fldCharType="end"/>
            </w:r>
          </w:hyperlink>
        </w:p>
        <w:p w:rsidR="00157C04" w:rsidRDefault="007A755D">
          <w:pPr>
            <w:pStyle w:val="Indholdsfortegnelse1"/>
            <w:rPr>
              <w:rFonts w:asciiTheme="minorHAnsi" w:eastAsiaTheme="minorEastAsia" w:hAnsiTheme="minorHAnsi" w:cstheme="minorBidi"/>
              <w:noProof/>
              <w:lang w:eastAsia="da-DK"/>
            </w:rPr>
          </w:pPr>
          <w:hyperlink w:anchor="_Toc532903589" w:history="1">
            <w:r w:rsidR="00157C04" w:rsidRPr="00C45162">
              <w:rPr>
                <w:rStyle w:val="Hyperlink"/>
                <w:noProof/>
              </w:rPr>
              <w:t>Bilag</w:t>
            </w:r>
            <w:r w:rsidR="00157C04">
              <w:rPr>
                <w:noProof/>
                <w:webHidden/>
              </w:rPr>
              <w:tab/>
            </w:r>
            <w:r w:rsidR="00157C04" w:rsidRPr="00157C04">
              <w:rPr>
                <w:noProof/>
                <w:webHidden/>
              </w:rPr>
              <w:tab/>
            </w:r>
            <w:r w:rsidR="00157C04">
              <w:rPr>
                <w:noProof/>
                <w:webHidden/>
              </w:rPr>
              <w:fldChar w:fldCharType="begin"/>
            </w:r>
            <w:r w:rsidR="00157C04">
              <w:rPr>
                <w:noProof/>
                <w:webHidden/>
              </w:rPr>
              <w:instrText xml:space="preserve"> PAGEREF _Toc532903589 \h </w:instrText>
            </w:r>
            <w:r w:rsidR="00157C04">
              <w:rPr>
                <w:noProof/>
                <w:webHidden/>
              </w:rPr>
            </w:r>
            <w:r w:rsidR="00157C04">
              <w:rPr>
                <w:noProof/>
                <w:webHidden/>
              </w:rPr>
              <w:fldChar w:fldCharType="separate"/>
            </w:r>
            <w:r w:rsidR="00157C04">
              <w:rPr>
                <w:noProof/>
                <w:webHidden/>
              </w:rPr>
              <w:t>21</w:t>
            </w:r>
            <w:r w:rsidR="00157C04">
              <w:rPr>
                <w:noProof/>
                <w:webHidden/>
              </w:rPr>
              <w:fldChar w:fldCharType="end"/>
            </w:r>
          </w:hyperlink>
        </w:p>
        <w:p w:rsidR="00157C04" w:rsidRDefault="00157C04" w:rsidP="00157C04">
          <w:pPr>
            <w:rPr>
              <w:b/>
              <w:bCs/>
            </w:rPr>
          </w:pPr>
          <w:r>
            <w:rPr>
              <w:b/>
              <w:bCs/>
            </w:rPr>
            <w:fldChar w:fldCharType="end"/>
          </w:r>
        </w:p>
      </w:sdtContent>
    </w:sdt>
    <w:p w:rsidR="00157C04" w:rsidRDefault="00157C04" w:rsidP="00157C04">
      <w:r>
        <w:br w:type="page"/>
      </w:r>
    </w:p>
    <w:p w:rsidR="00066132" w:rsidRDefault="00066132" w:rsidP="002C4225">
      <w:pPr>
        <w:pStyle w:val="Overskrift1"/>
      </w:pPr>
      <w:bookmarkStart w:id="4" w:name="_Toc532903348"/>
      <w:bookmarkStart w:id="5" w:name="_Toc532903581"/>
      <w:r w:rsidRPr="002C4225">
        <w:lastRenderedPageBreak/>
        <w:t>Sammenfatning</w:t>
      </w:r>
      <w:bookmarkEnd w:id="4"/>
      <w:bookmarkEnd w:id="5"/>
    </w:p>
    <w:p w:rsidR="00DC63A0" w:rsidRDefault="002C4225" w:rsidP="002C4225">
      <w:r>
        <w:br/>
      </w:r>
      <w:r w:rsidR="00221241" w:rsidRPr="00B578C4">
        <w:t>Overordnet set over</w:t>
      </w:r>
      <w:r w:rsidR="005F405B">
        <w:t>hold</w:t>
      </w:r>
      <w:r w:rsidR="00F77D76">
        <w:t>t</w:t>
      </w:r>
      <w:r w:rsidR="00221241" w:rsidRPr="00B578C4">
        <w:t xml:space="preserve"> kommunesektoren under ét </w:t>
      </w:r>
      <w:r w:rsidR="005F405B">
        <w:t xml:space="preserve">kommunernes </w:t>
      </w:r>
      <w:r w:rsidR="00221241" w:rsidRPr="00B578C4">
        <w:t>budgette</w:t>
      </w:r>
      <w:r w:rsidR="005F405B">
        <w:t>r</w:t>
      </w:r>
      <w:r w:rsidR="00221241" w:rsidRPr="00B578C4">
        <w:t xml:space="preserve"> for nettodriftsudgifterne for 2017. </w:t>
      </w:r>
      <w:r w:rsidR="005F405B">
        <w:t>Der kan endda noteres</w:t>
      </w:r>
      <w:r w:rsidR="00221241" w:rsidRPr="00B578C4">
        <w:t xml:space="preserve"> et overskud på 4,9 mia. kr. svarende til 1,4 pct. Det er dog bemærkelsesværdigt, at der blandt de 98 kommuner er en betydelig forskel på, i hvilken grad budgetterne overholdes. Blandt de 98 kommuner er der 21, som overskrider </w:t>
      </w:r>
      <w:r w:rsidR="00DF42E2">
        <w:t xml:space="preserve">de budgetterede </w:t>
      </w:r>
      <w:r w:rsidR="00221241" w:rsidRPr="00B578C4">
        <w:t xml:space="preserve">udgifter. Den kommune, som har det største overskud, er Samsø svarende til 14,9 pct. af budgettet. Omvendt er den kommune, som overskrider budgettet mest, Fanø med underskud svarende til 5,1 pct. </w:t>
      </w:r>
    </w:p>
    <w:p w:rsidR="007F023E" w:rsidRDefault="00DC63A0" w:rsidP="002C4225">
      <w:r w:rsidRPr="00B578C4">
        <w:t xml:space="preserve">Kommunesektoren under ét overskrider heller ikke budgettet for 2017 ift. serviceudgifterne. Her underskrides budgettet med 1,3 mia. kr. svarende til 1,2 pct. Graden af budgetoverholdelsen for serviceudgifterne varierer ligeledes mellem kommunerne. Der findes 40 kommuner som enkeltvis overskrider budgettet i 2017. Igen er det Fanø og Samsø, som udgør de to mest ekstreme tilfælde ift. budgetoverholdelse med en overskridelse på 6,8 pct. og en underskridelse på 14,7 pct. hhv. </w:t>
      </w:r>
    </w:p>
    <w:p w:rsidR="00DB37E3" w:rsidRDefault="007F023E" w:rsidP="002C4225">
      <w:r w:rsidRPr="007F023E">
        <w:t>I arbejdspapiret</w:t>
      </w:r>
      <w:r>
        <w:t xml:space="preserve"> undersøges, hvorvidt en række forskellige faktorer tjener som gennemgående forklaring på, i hvilken grad kommuner er tilbøjelige til at overskride deres eget vedtagne budget.</w:t>
      </w:r>
      <w:r w:rsidR="00DB37E3">
        <w:t xml:space="preserve"> Der bliver udpeget to signifikant betydende faktorer:</w:t>
      </w:r>
    </w:p>
    <w:p w:rsidR="00DB37E3" w:rsidRDefault="00DB37E3" w:rsidP="002C4225">
      <w:r>
        <w:t>Jo højere udgifts- eller serviceniveau der holdes i kommunen, jo mere er kommunen tilbøjelig til at overskride dens eget budget.</w:t>
      </w:r>
    </w:p>
    <w:p w:rsidR="00DB37E3" w:rsidRDefault="00DB37E3" w:rsidP="002C4225">
      <w:r>
        <w:t>Jo dårligere budgetoverholdelse kommunen præsterede for året forud, jo mere er kommunen tilbøjelig til at overskride dens eget budget.</w:t>
      </w:r>
    </w:p>
    <w:p w:rsidR="00DB37E3" w:rsidRDefault="00DB37E3" w:rsidP="002C4225">
      <w:r>
        <w:t xml:space="preserve">Resultaterne afkræfter dermed en tese om, at det er de økonomisk mest pressede kommuner, som er mest tilbøjelige til at overskride deres egne budgetter. Snarere synes budgetoverskridelser at hænge sammen med </w:t>
      </w:r>
      <w:r w:rsidR="0064552C">
        <w:t>en kultur i kommunen.</w:t>
      </w:r>
    </w:p>
    <w:p w:rsidR="004A4C59" w:rsidRPr="007F023E" w:rsidRDefault="004A4C59">
      <w:pPr>
        <w:rPr>
          <w:rFonts w:ascii="Times New Roman" w:hAnsi="Times New Roman"/>
          <w:sz w:val="28"/>
          <w:szCs w:val="28"/>
        </w:rPr>
      </w:pPr>
      <w:r w:rsidRPr="007F023E">
        <w:rPr>
          <w:rFonts w:ascii="Times New Roman" w:hAnsi="Times New Roman"/>
          <w:sz w:val="28"/>
          <w:szCs w:val="28"/>
        </w:rPr>
        <w:br w:type="page"/>
      </w:r>
    </w:p>
    <w:p w:rsidR="002C4225" w:rsidRDefault="002C4225" w:rsidP="002C4225">
      <w:pPr>
        <w:pStyle w:val="Overskrift1"/>
        <w:rPr>
          <w:rFonts w:eastAsia="Calibri"/>
          <w:lang w:val="en-US"/>
        </w:rPr>
      </w:pPr>
      <w:bookmarkStart w:id="6" w:name="_Toc532903349"/>
      <w:bookmarkStart w:id="7" w:name="_Toc532903582"/>
      <w:r>
        <w:rPr>
          <w:rFonts w:eastAsia="Calibri"/>
          <w:lang w:val="en-US"/>
        </w:rPr>
        <w:lastRenderedPageBreak/>
        <w:t>English Abstract</w:t>
      </w:r>
      <w:bookmarkEnd w:id="6"/>
      <w:bookmarkEnd w:id="7"/>
    </w:p>
    <w:p w:rsidR="004A4C59" w:rsidRPr="004A4C59" w:rsidRDefault="002C4225" w:rsidP="002C4225">
      <w:pPr>
        <w:rPr>
          <w:lang w:val="en-US"/>
        </w:rPr>
      </w:pPr>
      <w:r>
        <w:rPr>
          <w:lang w:val="en-US"/>
        </w:rPr>
        <w:br/>
      </w:r>
      <w:r w:rsidR="004A4C59" w:rsidRPr="004A4C59">
        <w:rPr>
          <w:lang w:val="en-US"/>
        </w:rPr>
        <w:t xml:space="preserve">In recent years, exceeding budgets is a reoccurring problem for many Danish municipalities. The exceedances result in economic consequences crossing the own municipal border. This paper estimates the determinants of a municipality exceeding its budget using two consumption measures: the net expenses and the service expenses. The results of the estimated </w:t>
      </w:r>
      <w:proofErr w:type="spellStart"/>
      <w:r w:rsidR="004A4C59" w:rsidRPr="004A4C59">
        <w:rPr>
          <w:lang w:val="en-US"/>
        </w:rPr>
        <w:t>probit</w:t>
      </w:r>
      <w:proofErr w:type="spellEnd"/>
      <w:r w:rsidR="004A4C59" w:rsidRPr="004A4C59">
        <w:rPr>
          <w:lang w:val="en-US"/>
        </w:rPr>
        <w:t xml:space="preserve"> models suggest that an unsolid municipal economy is positively associated with the probability of exceeding its budget. A possible explanation might be that the municipal economy depends strongly on the Danish municipal compensation system and its unfavorable incentive system. Applying alternative mechanisms where the municipalities are more individually liable for the costs and consequences of their poor financial management might help to mitigate exceeding municipal budgets.</w:t>
      </w:r>
    </w:p>
    <w:p w:rsidR="004A4C59" w:rsidRPr="004A4C59" w:rsidRDefault="004A4C59" w:rsidP="004A4C59">
      <w:pPr>
        <w:rPr>
          <w:rFonts w:ascii="Times New Roman" w:hAnsi="Times New Roman"/>
          <w:b/>
          <w:sz w:val="36"/>
          <w:szCs w:val="36"/>
          <w:lang w:val="en-US"/>
        </w:rPr>
      </w:pPr>
    </w:p>
    <w:p w:rsidR="00066132" w:rsidRPr="004A4C59" w:rsidRDefault="00066132" w:rsidP="00066132">
      <w:pPr>
        <w:ind w:left="360"/>
        <w:rPr>
          <w:rFonts w:ascii="Times New Roman" w:hAnsi="Times New Roman"/>
          <w:b/>
          <w:sz w:val="36"/>
          <w:szCs w:val="36"/>
          <w:lang w:val="en-US"/>
        </w:rPr>
      </w:pPr>
    </w:p>
    <w:p w:rsidR="00066132" w:rsidRPr="004A4C59" w:rsidRDefault="00066132" w:rsidP="00066132">
      <w:pPr>
        <w:ind w:left="360"/>
        <w:rPr>
          <w:rFonts w:ascii="Times New Roman" w:hAnsi="Times New Roman"/>
          <w:b/>
          <w:sz w:val="36"/>
          <w:szCs w:val="36"/>
          <w:lang w:val="en-US"/>
        </w:rPr>
      </w:pPr>
    </w:p>
    <w:p w:rsidR="00A567FC" w:rsidRPr="004A4C59" w:rsidRDefault="00A567FC">
      <w:pPr>
        <w:rPr>
          <w:b/>
          <w:lang w:val="en-US"/>
        </w:rPr>
      </w:pPr>
    </w:p>
    <w:p w:rsidR="00A567FC" w:rsidRPr="004A4C59" w:rsidRDefault="00A567FC">
      <w:pPr>
        <w:rPr>
          <w:b/>
          <w:lang w:val="en-US"/>
        </w:rPr>
      </w:pPr>
      <w:r w:rsidRPr="004A4C59">
        <w:rPr>
          <w:b/>
          <w:lang w:val="en-US"/>
        </w:rPr>
        <w:br w:type="page"/>
      </w:r>
    </w:p>
    <w:p w:rsidR="002C4225" w:rsidRDefault="002C4225" w:rsidP="002C4225">
      <w:pPr>
        <w:pStyle w:val="Overskrift1"/>
      </w:pPr>
      <w:bookmarkStart w:id="8" w:name="_Hlk527111724"/>
      <w:bookmarkStart w:id="9" w:name="_Toc532903350"/>
      <w:bookmarkStart w:id="10" w:name="_Toc532903583"/>
      <w:r w:rsidRPr="002C4225">
        <w:lastRenderedPageBreak/>
        <w:t>Budgetdisciplin i kommunerne</w:t>
      </w:r>
      <w:bookmarkEnd w:id="8"/>
      <w:bookmarkEnd w:id="9"/>
      <w:bookmarkEnd w:id="10"/>
    </w:p>
    <w:p w:rsidR="00A83510" w:rsidRPr="00B578C4" w:rsidRDefault="002C4225" w:rsidP="002C4225">
      <w:r>
        <w:br/>
      </w:r>
      <w:r w:rsidR="00A106AA" w:rsidRPr="00B578C4">
        <w:t>Igennem</w:t>
      </w:r>
      <w:r w:rsidR="00A83510" w:rsidRPr="00B578C4">
        <w:t xml:space="preserve"> en længere årrække har der været en tendens</w:t>
      </w:r>
      <w:r w:rsidR="00F854C0" w:rsidRPr="00B578C4">
        <w:t xml:space="preserve"> til</w:t>
      </w:r>
      <w:r w:rsidR="00A83510" w:rsidRPr="00B578C4">
        <w:t xml:space="preserve">, </w:t>
      </w:r>
      <w:r w:rsidR="00F854C0" w:rsidRPr="00B578C4">
        <w:t xml:space="preserve">at </w:t>
      </w:r>
      <w:r w:rsidR="00CD7625">
        <w:t xml:space="preserve">en del af </w:t>
      </w:r>
      <w:r w:rsidR="00F854C0" w:rsidRPr="00B578C4">
        <w:t xml:space="preserve">de </w:t>
      </w:r>
      <w:r w:rsidR="00A83510" w:rsidRPr="00B578C4">
        <w:t>danske kommuner har overskredet deres økonomiske rammer</w:t>
      </w:r>
      <w:r w:rsidR="00CD7625">
        <w:t>, og frem til 2010 var tendensen tillige, at kommunerne samlet set overskred de rammer, som var aftalt med regeringen</w:t>
      </w:r>
      <w:r w:rsidR="00A83510" w:rsidRPr="00B578C4">
        <w:t>. Derved har de ført en økonomisk politik</w:t>
      </w:r>
      <w:r w:rsidR="00501C01" w:rsidRPr="00B578C4">
        <w:t>,</w:t>
      </w:r>
      <w:r w:rsidR="00A83510" w:rsidRPr="00B578C4">
        <w:t xml:space="preserve"> hvor regnskabstallene overstiger budgettallene, hvilket har medført et økonomisk underskud i kommunerne. Denne tendens har været til</w:t>
      </w:r>
      <w:r w:rsidR="00501C01" w:rsidRPr="00B578C4">
        <w:t xml:space="preserve"> </w:t>
      </w:r>
      <w:r w:rsidR="00A83510" w:rsidRPr="00B578C4">
        <w:t>stede</w:t>
      </w:r>
      <w:r w:rsidR="00501C01" w:rsidRPr="00B578C4">
        <w:t xml:space="preserve"> </w:t>
      </w:r>
      <w:r w:rsidR="00A83510" w:rsidRPr="00B578C4">
        <w:t>før såvel som efter strukturreformen i 2007.</w:t>
      </w:r>
    </w:p>
    <w:p w:rsidR="00284A22" w:rsidRPr="00B578C4" w:rsidRDefault="00A83510" w:rsidP="002C4225">
      <w:r w:rsidRPr="00B578C4">
        <w:t xml:space="preserve">I </w:t>
      </w:r>
      <w:r w:rsidR="00046E3B" w:rsidRPr="00B578C4">
        <w:t>D</w:t>
      </w:r>
      <w:r w:rsidRPr="00B578C4">
        <w:t xml:space="preserve">anmark har man siden slutningen af 1970’erne </w:t>
      </w:r>
      <w:r w:rsidR="00B4183D">
        <w:rPr>
          <w:color w:val="000000" w:themeColor="text1"/>
        </w:rPr>
        <w:t>håndteret</w:t>
      </w:r>
      <w:r w:rsidR="001B52AF" w:rsidRPr="00B578C4">
        <w:rPr>
          <w:color w:val="000000" w:themeColor="text1"/>
        </w:rPr>
        <w:t xml:space="preserve"> </w:t>
      </w:r>
      <w:r w:rsidRPr="00B578C4">
        <w:rPr>
          <w:color w:val="000000" w:themeColor="text1"/>
        </w:rPr>
        <w:t>økonomisk</w:t>
      </w:r>
      <w:r w:rsidR="009743C1" w:rsidRPr="00B578C4">
        <w:rPr>
          <w:color w:val="000000" w:themeColor="text1"/>
        </w:rPr>
        <w:t xml:space="preserve">e problemer </w:t>
      </w:r>
      <w:r w:rsidR="009743C1" w:rsidRPr="00B578C4">
        <w:t>ved at kombinere et kommunalt selvstyre</w:t>
      </w:r>
      <w:r w:rsidRPr="00B578C4">
        <w:t xml:space="preserve"> </w:t>
      </w:r>
      <w:r w:rsidR="009743C1" w:rsidRPr="00B578C4">
        <w:t xml:space="preserve">med en </w:t>
      </w:r>
      <w:r w:rsidRPr="00B578C4">
        <w:t>cen</w:t>
      </w:r>
      <w:r w:rsidR="009743C1" w:rsidRPr="00B578C4">
        <w:t>tral</w:t>
      </w:r>
      <w:r w:rsidR="003370F6" w:rsidRPr="00B578C4">
        <w:t xml:space="preserve"> statslig</w:t>
      </w:r>
      <w:r w:rsidR="009743C1" w:rsidRPr="00B578C4">
        <w:t xml:space="preserve"> makroøkonomisk styring</w:t>
      </w:r>
      <w:r w:rsidRPr="00B578C4">
        <w:t xml:space="preserve">. </w:t>
      </w:r>
      <w:r w:rsidR="00501C01" w:rsidRPr="00B578C4">
        <w:t xml:space="preserve">Potentielle </w:t>
      </w:r>
      <w:r w:rsidRPr="00B578C4">
        <w:t>økonomiske udfordring</w:t>
      </w:r>
      <w:r w:rsidR="00046E3B" w:rsidRPr="00B578C4">
        <w:t>er</w:t>
      </w:r>
      <w:r w:rsidR="00501C01" w:rsidRPr="00B578C4">
        <w:t xml:space="preserve"> er imødekommet</w:t>
      </w:r>
      <w:r w:rsidRPr="00B578C4">
        <w:t xml:space="preserve"> </w:t>
      </w:r>
      <w:r w:rsidR="00501C01" w:rsidRPr="00B578C4">
        <w:t>i</w:t>
      </w:r>
      <w:r w:rsidRPr="00B578C4">
        <w:t>ge</w:t>
      </w:r>
      <w:r w:rsidR="009743C1" w:rsidRPr="00B578C4">
        <w:t xml:space="preserve">nnem et </w:t>
      </w:r>
      <w:r w:rsidR="00501C01" w:rsidRPr="00B578C4">
        <w:t xml:space="preserve">stat-kommunalt </w:t>
      </w:r>
      <w:r w:rsidR="009743C1" w:rsidRPr="00B578C4">
        <w:t>samarbejde</w:t>
      </w:r>
      <w:r w:rsidR="00501C01" w:rsidRPr="00B578C4">
        <w:t xml:space="preserve">, hvori rammeaftaler for kommunerne er blevet fastsat ved </w:t>
      </w:r>
      <w:r w:rsidRPr="00B578C4">
        <w:t>årlige budgetforhand</w:t>
      </w:r>
      <w:r w:rsidR="009743C1" w:rsidRPr="00B578C4">
        <w:t xml:space="preserve">linger mellem </w:t>
      </w:r>
      <w:r w:rsidR="00FD6F75" w:rsidRPr="00B578C4">
        <w:t>Kommunernes Landsforening (</w:t>
      </w:r>
      <w:r w:rsidR="009743C1" w:rsidRPr="00B578C4">
        <w:t>KL</w:t>
      </w:r>
      <w:r w:rsidR="00FD6F75" w:rsidRPr="00B578C4">
        <w:t>)</w:t>
      </w:r>
      <w:r w:rsidR="009743C1" w:rsidRPr="00B578C4">
        <w:t xml:space="preserve"> og regeringen</w:t>
      </w:r>
      <w:r w:rsidR="00046E3B" w:rsidRPr="00B578C4">
        <w:t xml:space="preserve">. </w:t>
      </w:r>
      <w:r w:rsidR="003370F6" w:rsidRPr="00B578C4">
        <w:t>A</w:t>
      </w:r>
      <w:r w:rsidR="00046E3B" w:rsidRPr="00B578C4">
        <w:t>ftaler</w:t>
      </w:r>
      <w:r w:rsidR="003370F6" w:rsidRPr="00B578C4">
        <w:t>ne</w:t>
      </w:r>
      <w:r w:rsidR="00046E3B" w:rsidRPr="00B578C4">
        <w:t xml:space="preserve"> danner grundlag for </w:t>
      </w:r>
      <w:r w:rsidR="003370F6" w:rsidRPr="00B578C4">
        <w:t xml:space="preserve">et </w:t>
      </w:r>
      <w:r w:rsidR="001B52AF" w:rsidRPr="00B578C4">
        <w:t xml:space="preserve">generelt </w:t>
      </w:r>
      <w:r w:rsidR="00046E3B" w:rsidRPr="00B578C4">
        <w:t>økonomiske udspil</w:t>
      </w:r>
      <w:r w:rsidR="009743C1" w:rsidRPr="00B578C4">
        <w:t xml:space="preserve">, hvor der tages højde for </w:t>
      </w:r>
      <w:r w:rsidR="00046E3B" w:rsidRPr="00B578C4">
        <w:t xml:space="preserve">den aktuelle konjunktursituation samt langsigtede makroøkonomiske udfordringer. Rammeaftalerne </w:t>
      </w:r>
      <w:r w:rsidR="00501C01" w:rsidRPr="00B578C4">
        <w:t xml:space="preserve">indeholder </w:t>
      </w:r>
      <w:r w:rsidR="00046E3B" w:rsidRPr="00B578C4">
        <w:t>niveauet for de samlede serviceud</w:t>
      </w:r>
      <w:r w:rsidR="009743C1" w:rsidRPr="00B578C4">
        <w:t xml:space="preserve">gifter, </w:t>
      </w:r>
      <w:r w:rsidR="00046E3B" w:rsidRPr="00B578C4">
        <w:t xml:space="preserve">anlægsinvesteringer samt skattefastsættelsen i kommunerne for det </w:t>
      </w:r>
      <w:r w:rsidR="00501C01" w:rsidRPr="00B578C4">
        <w:t>efter</w:t>
      </w:r>
      <w:r w:rsidR="00046E3B" w:rsidRPr="00B578C4">
        <w:t xml:space="preserve">følgende år. </w:t>
      </w:r>
      <w:r w:rsidR="003370F6" w:rsidRPr="00B578C4">
        <w:t xml:space="preserve">Ydermere </w:t>
      </w:r>
      <w:r w:rsidR="00046E3B" w:rsidRPr="00B578C4">
        <w:t>fastlægges andre rammer for den kommunale økonomi</w:t>
      </w:r>
      <w:r w:rsidR="003370F6" w:rsidRPr="00B578C4">
        <w:t>.</w:t>
      </w:r>
      <w:r w:rsidR="00046E3B" w:rsidRPr="00B578C4">
        <w:t xml:space="preserve"> Eksempelvis dannes der estimater for udgifter til indkomstoverførsler. </w:t>
      </w:r>
      <w:r w:rsidR="009743C1" w:rsidRPr="00B578C4">
        <w:t>På baggrund</w:t>
      </w:r>
      <w:r w:rsidR="00207A62" w:rsidRPr="00B578C4">
        <w:t xml:space="preserve"> </w:t>
      </w:r>
      <w:r w:rsidR="00FD6F75" w:rsidRPr="00B578C4">
        <w:t xml:space="preserve">af </w:t>
      </w:r>
      <w:r w:rsidR="00207A62" w:rsidRPr="00B578C4">
        <w:t>aftalens indhold beregnes herefter et bloktilskud, som sikrer, at kommunerne under ét har finansiering til de aftal</w:t>
      </w:r>
      <w:r w:rsidR="0000060A" w:rsidRPr="00B578C4">
        <w:t>t</w:t>
      </w:r>
      <w:r w:rsidR="00207A62" w:rsidRPr="00B578C4">
        <w:t xml:space="preserve">e udgifter. </w:t>
      </w:r>
      <w:r w:rsidR="00284A22" w:rsidRPr="00B578C4">
        <w:t>For at regeringen</w:t>
      </w:r>
      <w:r w:rsidR="0000060A" w:rsidRPr="00B578C4">
        <w:t>s</w:t>
      </w:r>
      <w:r w:rsidR="00284A22" w:rsidRPr="00B578C4">
        <w:t xml:space="preserve"> finanspolitisk</w:t>
      </w:r>
      <w:r w:rsidR="0000060A" w:rsidRPr="00B578C4">
        <w:t>e</w:t>
      </w:r>
      <w:r w:rsidR="00284A22" w:rsidRPr="00B578C4">
        <w:t xml:space="preserve"> målsætning kan fastholdes, er det afgørende</w:t>
      </w:r>
      <w:r w:rsidR="00FD6F75" w:rsidRPr="00B578C4">
        <w:t>,</w:t>
      </w:r>
      <w:r w:rsidR="00284A22" w:rsidRPr="00B578C4">
        <w:t xml:space="preserve"> at kommunerne overholder de aftal</w:t>
      </w:r>
      <w:r w:rsidR="00FD6F75" w:rsidRPr="00B578C4">
        <w:t>t</w:t>
      </w:r>
      <w:r w:rsidR="00284A22" w:rsidRPr="00B578C4">
        <w:t xml:space="preserve">e rammer. </w:t>
      </w:r>
    </w:p>
    <w:p w:rsidR="00EA228F" w:rsidRPr="00B578C4" w:rsidRDefault="00207A62" w:rsidP="002C4225">
      <w:r w:rsidRPr="00B578C4">
        <w:t xml:space="preserve">Dermed er det kommunale budget et udtryk for den </w:t>
      </w:r>
      <w:r w:rsidR="00B4183D">
        <w:t>bedst mulige</w:t>
      </w:r>
      <w:r w:rsidRPr="00B578C4">
        <w:t xml:space="preserve"> afvejning af</w:t>
      </w:r>
      <w:r w:rsidR="0000060A" w:rsidRPr="00B578C4">
        <w:t>,</w:t>
      </w:r>
      <w:r w:rsidRPr="00B578C4">
        <w:t xml:space="preserve"> hvordan</w:t>
      </w:r>
      <w:r w:rsidR="003370F6" w:rsidRPr="00B578C4">
        <w:t xml:space="preserve"> de økonomiske</w:t>
      </w:r>
      <w:r w:rsidRPr="00B578C4">
        <w:t xml:space="preserve"> ressourcer skal anvendes </w:t>
      </w:r>
      <w:r w:rsidR="009743C1" w:rsidRPr="00B578C4">
        <w:t>i</w:t>
      </w:r>
      <w:r w:rsidR="003370F6" w:rsidRPr="00B578C4">
        <w:t>ft.</w:t>
      </w:r>
      <w:r w:rsidR="009743C1" w:rsidRPr="00B578C4">
        <w:t xml:space="preserve"> de</w:t>
      </w:r>
      <w:r w:rsidRPr="00B578C4">
        <w:t xml:space="preserve"> </w:t>
      </w:r>
      <w:r w:rsidR="009743C1" w:rsidRPr="00B578C4">
        <w:t xml:space="preserve">økonomiske </w:t>
      </w:r>
      <w:r w:rsidR="001B52AF" w:rsidRPr="00B578C4">
        <w:t>omstændigheder</w:t>
      </w:r>
      <w:r w:rsidRPr="00B578C4">
        <w:t xml:space="preserve">. Denne afvejning dannes med udgangspunkt i </w:t>
      </w:r>
      <w:r w:rsidR="00B808BD" w:rsidRPr="00B578C4">
        <w:t xml:space="preserve">det </w:t>
      </w:r>
      <w:r w:rsidRPr="00B578C4">
        <w:t>lokal</w:t>
      </w:r>
      <w:r w:rsidR="00A106AA" w:rsidRPr="00B578C4">
        <w:t>e</w:t>
      </w:r>
      <w:r w:rsidRPr="00B578C4">
        <w:t xml:space="preserve"> demokrati, der</w:t>
      </w:r>
      <w:r w:rsidR="003370F6" w:rsidRPr="00B578C4">
        <w:t xml:space="preserve"> på forskellig vis</w:t>
      </w:r>
      <w:r w:rsidRPr="00B578C4">
        <w:t xml:space="preserve"> indebærer </w:t>
      </w:r>
      <w:r w:rsidR="00B808BD" w:rsidRPr="00B578C4">
        <w:t>borgerinddragelse</w:t>
      </w:r>
      <w:r w:rsidRPr="00B578C4">
        <w:t xml:space="preserve">. </w:t>
      </w:r>
      <w:r w:rsidR="009743C1" w:rsidRPr="00B578C4">
        <w:t>A</w:t>
      </w:r>
      <w:r w:rsidRPr="00B578C4">
        <w:t>fvejning</w:t>
      </w:r>
      <w:r w:rsidR="009743C1" w:rsidRPr="00B578C4">
        <w:t>en</w:t>
      </w:r>
      <w:r w:rsidRPr="00B578C4">
        <w:t xml:space="preserve"> må derfor antages at give borgerne den størst mulige nytte</w:t>
      </w:r>
      <w:r w:rsidR="009743C1" w:rsidRPr="00B578C4">
        <w:t xml:space="preserve"> ud fra de givne præmisser</w:t>
      </w:r>
      <w:r w:rsidR="00A106AA" w:rsidRPr="00B578C4">
        <w:t xml:space="preserve">. </w:t>
      </w:r>
      <w:r w:rsidR="003370F6" w:rsidRPr="00B578C4">
        <w:t>Med mindre der opstår uforudsete omstændigheder, så borgerne ville ønske en justeret fordeling af anvendelsen af ressourcerne, må en</w:t>
      </w:r>
      <w:r w:rsidR="00A106AA" w:rsidRPr="00B578C4">
        <w:t xml:space="preserve"> afvigelse fra</w:t>
      </w:r>
      <w:r w:rsidR="003370F6" w:rsidRPr="00B578C4">
        <w:t xml:space="preserve"> budgettet</w:t>
      </w:r>
      <w:r w:rsidR="00A106AA" w:rsidRPr="00B578C4">
        <w:t xml:space="preserve"> </w:t>
      </w:r>
      <w:r w:rsidRPr="00B578C4">
        <w:t xml:space="preserve">derfor </w:t>
      </w:r>
      <w:r w:rsidR="003370F6" w:rsidRPr="00B578C4">
        <w:t>forstås som</w:t>
      </w:r>
      <w:r w:rsidR="00A106AA" w:rsidRPr="00B578C4">
        <w:t xml:space="preserve"> en afvigelse fra den</w:t>
      </w:r>
      <w:r w:rsidRPr="00B578C4">
        <w:t xml:space="preserve"> optimale</w:t>
      </w:r>
      <w:r w:rsidR="00A106AA" w:rsidRPr="00B578C4">
        <w:t xml:space="preserve"> afvejning</w:t>
      </w:r>
      <w:r w:rsidR="001B52AF" w:rsidRPr="00B578C4">
        <w:t xml:space="preserve"> af bu</w:t>
      </w:r>
      <w:r w:rsidR="003370F6" w:rsidRPr="00B578C4">
        <w:t>d</w:t>
      </w:r>
      <w:r w:rsidR="001B52AF" w:rsidRPr="00B578C4">
        <w:t>g</w:t>
      </w:r>
      <w:r w:rsidR="003370F6" w:rsidRPr="00B578C4">
        <w:t>ettet</w:t>
      </w:r>
      <w:r w:rsidRPr="00B578C4">
        <w:t xml:space="preserve">. </w:t>
      </w:r>
      <w:r w:rsidR="00496C7D" w:rsidRPr="00B578C4">
        <w:t xml:space="preserve">Dog afviger kommunen fra det som den har stillet borgerne i sigte, hvis ikke </w:t>
      </w:r>
      <w:r w:rsidR="00B9121B" w:rsidRPr="00B578C4">
        <w:t>den ikke overholder sit budget.</w:t>
      </w:r>
    </w:p>
    <w:p w:rsidR="00B9121B" w:rsidRPr="00B578C4" w:rsidRDefault="00CD4EE6" w:rsidP="002C4225">
      <w:r w:rsidRPr="00B578C4">
        <w:t>Ofte har</w:t>
      </w:r>
      <w:r w:rsidR="00496C7D" w:rsidRPr="00B578C4">
        <w:t xml:space="preserve"> udgiftspresset været så stort, at kommunesektoren </w:t>
      </w:r>
      <w:r w:rsidR="001B52AF" w:rsidRPr="00B578C4">
        <w:t xml:space="preserve">under ét </w:t>
      </w:r>
      <w:r w:rsidR="00496C7D" w:rsidRPr="00B578C4">
        <w:t>har sprunget</w:t>
      </w:r>
      <w:r w:rsidRPr="00B578C4">
        <w:t xml:space="preserve"> budgettet og brudt</w:t>
      </w:r>
      <w:r w:rsidR="00496C7D" w:rsidRPr="00B578C4">
        <w:t xml:space="preserve"> de indgåede aftaler.</w:t>
      </w:r>
      <w:r w:rsidR="00B9121B" w:rsidRPr="00B578C4">
        <w:t xml:space="preserve"> Denne tendens har </w:t>
      </w:r>
      <w:r w:rsidR="004B24C7" w:rsidRPr="00B578C4">
        <w:t>især</w:t>
      </w:r>
      <w:r w:rsidR="00B9121B" w:rsidRPr="00B578C4">
        <w:t xml:space="preserve"> været gældende før strukturreformen</w:t>
      </w:r>
      <w:r w:rsidR="00FD6F75" w:rsidRPr="00B578C4">
        <w:t xml:space="preserve"> i</w:t>
      </w:r>
      <w:r w:rsidR="00B9121B" w:rsidRPr="00B578C4">
        <w:t xml:space="preserve"> 2007</w:t>
      </w:r>
      <w:r w:rsidR="003C012D" w:rsidRPr="00B578C4">
        <w:t xml:space="preserve"> og gjaldt helt frem til 2001 jf. bilag 1</w:t>
      </w:r>
      <w:r w:rsidR="00AC0E23" w:rsidRPr="00B578C4">
        <w:t>. Først i</w:t>
      </w:r>
      <w:r w:rsidR="00B9121B" w:rsidRPr="00B578C4">
        <w:t xml:space="preserve"> 2012 ske</w:t>
      </w:r>
      <w:r w:rsidR="00FD6F75" w:rsidRPr="00B578C4">
        <w:t>te</w:t>
      </w:r>
      <w:r w:rsidR="00B9121B" w:rsidRPr="00B578C4">
        <w:t xml:space="preserve"> der et markant skift, </w:t>
      </w:r>
      <w:r w:rsidR="00AC0E23" w:rsidRPr="00B578C4">
        <w:t xml:space="preserve">da </w:t>
      </w:r>
      <w:r w:rsidR="00B9121B" w:rsidRPr="00B578C4">
        <w:t>kommunesektoren under ét g</w:t>
      </w:r>
      <w:r w:rsidR="00FD6F75" w:rsidRPr="00B578C4">
        <w:t>ik</w:t>
      </w:r>
      <w:r w:rsidR="00B9121B" w:rsidRPr="00B578C4">
        <w:t xml:space="preserve"> fra et underskud på 1,9 mia. kr. i 2011 til et overskud på 6,2 mia. kr.</w:t>
      </w:r>
      <w:r w:rsidR="00506CF6" w:rsidRPr="00B578C4">
        <w:t xml:space="preserve"> i 2012.</w:t>
      </w:r>
      <w:r w:rsidR="00B9121B" w:rsidRPr="00B578C4">
        <w:t xml:space="preserve"> </w:t>
      </w:r>
      <w:r w:rsidR="00506CF6" w:rsidRPr="00B578C4">
        <w:t>I de efterfølgende år har</w:t>
      </w:r>
      <w:r w:rsidR="00B9121B" w:rsidRPr="00B578C4">
        <w:t xml:space="preserve"> kommunesektoren</w:t>
      </w:r>
      <w:r w:rsidR="001B52AF" w:rsidRPr="00B578C4">
        <w:t xml:space="preserve"> </w:t>
      </w:r>
      <w:r w:rsidR="00506CF6" w:rsidRPr="00B578C4">
        <w:t>ligeledes</w:t>
      </w:r>
      <w:r w:rsidR="004B24C7" w:rsidRPr="00B578C4">
        <w:t xml:space="preserve"> haft</w:t>
      </w:r>
      <w:r w:rsidR="00506CF6" w:rsidRPr="00B578C4">
        <w:t xml:space="preserve"> </w:t>
      </w:r>
      <w:r w:rsidR="00B9121B" w:rsidRPr="00B578C4">
        <w:t>store overskud ift. nettodriftsudgifterne. Det gennemsnitlige årlige overskud</w:t>
      </w:r>
      <w:r w:rsidR="00AC0E23" w:rsidRPr="00B578C4">
        <w:t xml:space="preserve"> var</w:t>
      </w:r>
      <w:r w:rsidR="00B9121B" w:rsidRPr="00B578C4">
        <w:t xml:space="preserve"> fra 2012-17</w:t>
      </w:r>
      <w:r w:rsidR="00AC0E23" w:rsidRPr="00B578C4">
        <w:t xml:space="preserve"> </w:t>
      </w:r>
      <w:r w:rsidR="00B9121B" w:rsidRPr="00B578C4">
        <w:t>5,8 mia. kr.</w:t>
      </w:r>
      <w:r w:rsidR="00CD4FBF">
        <w:t>, som det fremgår af bilag 1.</w:t>
      </w:r>
    </w:p>
    <w:p w:rsidR="00496C7D" w:rsidRPr="00B578C4" w:rsidRDefault="00506CF6" w:rsidP="002C4225">
      <w:r w:rsidRPr="00B578C4">
        <w:lastRenderedPageBreak/>
        <w:t>Det markante skift i kommunesektoren</w:t>
      </w:r>
      <w:r w:rsidR="00FD6F75" w:rsidRPr="00B578C4">
        <w:t>s</w:t>
      </w:r>
      <w:r w:rsidRPr="00B578C4">
        <w:t xml:space="preserve"> </w:t>
      </w:r>
      <w:r w:rsidR="00FD6F75" w:rsidRPr="00B578C4">
        <w:t>budgetdisciplin</w:t>
      </w:r>
      <w:r w:rsidRPr="00B578C4">
        <w:t xml:space="preserve"> </w:t>
      </w:r>
      <w:r w:rsidR="00AC0E23" w:rsidRPr="00B578C4">
        <w:t xml:space="preserve">var hovedsageligt forårsaget af </w:t>
      </w:r>
      <w:r w:rsidRPr="00B578C4">
        <w:t xml:space="preserve">to </w:t>
      </w:r>
      <w:r w:rsidR="004B24C7" w:rsidRPr="00B578C4">
        <w:t>tiltag</w:t>
      </w:r>
      <w:r w:rsidRPr="00B578C4">
        <w:t>:</w:t>
      </w:r>
      <w:r w:rsidR="00B9121B" w:rsidRPr="00B578C4">
        <w:t xml:space="preserve"> </w:t>
      </w:r>
      <w:r w:rsidR="00FD6F75" w:rsidRPr="00B578C4">
        <w:t>G</w:t>
      </w:r>
      <w:r w:rsidRPr="00B578C4">
        <w:t>enopretningsaftalen og</w:t>
      </w:r>
      <w:r w:rsidR="00B9121B" w:rsidRPr="00B578C4">
        <w:t xml:space="preserve"> </w:t>
      </w:r>
      <w:r w:rsidRPr="00B578C4">
        <w:t>budgetloven. Genopretningsaftalen</w:t>
      </w:r>
      <w:r w:rsidR="004B24C7" w:rsidRPr="00B578C4">
        <w:t xml:space="preserve"> blev indført med det formål</w:t>
      </w:r>
      <w:r w:rsidRPr="00B578C4">
        <w:t xml:space="preserve"> at indfri EU’s henstilling om en styrkelse af den strukturelle saldo med 1,5 pct. af BNP i årene 2011 til 2013. Som led i aftalen</w:t>
      </w:r>
      <w:r w:rsidR="00AC0E23" w:rsidRPr="00B578C4">
        <w:t xml:space="preserve"> skulle</w:t>
      </w:r>
      <w:r w:rsidRPr="00B578C4">
        <w:t xml:space="preserve"> kommunerne igangs</w:t>
      </w:r>
      <w:r w:rsidR="00AC0E23" w:rsidRPr="00B578C4">
        <w:t>æ</w:t>
      </w:r>
      <w:r w:rsidRPr="00B578C4">
        <w:t xml:space="preserve">tte en proces </w:t>
      </w:r>
      <w:r w:rsidR="004B24C7" w:rsidRPr="00B578C4">
        <w:t xml:space="preserve">for at tilpasse økonomien </w:t>
      </w:r>
      <w:r w:rsidRPr="00B578C4">
        <w:t>med henblik på at overholde de aftalte udgiftsniveauer i 2011. Dette blev aftal</w:t>
      </w:r>
      <w:r w:rsidR="00AC0E23" w:rsidRPr="00B578C4">
        <w:t>t i forlængelse af d</w:t>
      </w:r>
      <w:r w:rsidRPr="00B578C4">
        <w:t>en markante budgetoverskridelse i 2009. Processen indebar en justering af de</w:t>
      </w:r>
      <w:r w:rsidR="00AC0E23" w:rsidRPr="00B578C4">
        <w:t>n</w:t>
      </w:r>
      <w:r w:rsidRPr="00B578C4">
        <w:t xml:space="preserve"> ramme</w:t>
      </w:r>
      <w:r w:rsidR="00AC0E23" w:rsidRPr="00B578C4">
        <w:t>lovgivning</w:t>
      </w:r>
      <w:r w:rsidRPr="00B578C4">
        <w:t xml:space="preserve">, som aftalesystemet fungerede inden for. </w:t>
      </w:r>
      <w:r w:rsidR="00266E26" w:rsidRPr="00B578C4">
        <w:t>Igennem en række nye styring</w:t>
      </w:r>
      <w:r w:rsidR="001B52AF" w:rsidRPr="00B578C4">
        <w:t>s</w:t>
      </w:r>
      <w:r w:rsidR="00266E26" w:rsidRPr="00B578C4">
        <w:t xml:space="preserve">mekanismer skulle </w:t>
      </w:r>
      <w:r w:rsidRPr="00B578C4">
        <w:t>kommunernes incitament til at overholde</w:t>
      </w:r>
      <w:r w:rsidR="00AC0E23" w:rsidRPr="00B578C4">
        <w:t xml:space="preserve"> </w:t>
      </w:r>
      <w:r w:rsidRPr="00B578C4">
        <w:t>de aftal</w:t>
      </w:r>
      <w:r w:rsidR="004B24C7" w:rsidRPr="00B578C4">
        <w:t>t</w:t>
      </w:r>
      <w:r w:rsidRPr="00B578C4">
        <w:t>e</w:t>
      </w:r>
      <w:r w:rsidR="00AC0E23" w:rsidRPr="00B578C4">
        <w:t xml:space="preserve"> budgetter</w:t>
      </w:r>
      <w:r w:rsidR="00266E26" w:rsidRPr="00B578C4">
        <w:t xml:space="preserve"> styrkes</w:t>
      </w:r>
      <w:r w:rsidR="00CE6B5D">
        <w:t xml:space="preserve"> ved, at det skulle have konkrete økonomiske konsekvenser</w:t>
      </w:r>
      <w:r w:rsidR="00E0468D">
        <w:t xml:space="preserve"> for såvel den enkelte overskridende kommune som for kommunesektoren som helhed, såfremt indgåede kommuneaftaler ikke fremtidigt blev overholdt</w:t>
      </w:r>
      <w:r w:rsidR="00266E26" w:rsidRPr="00B578C4">
        <w:t>.</w:t>
      </w:r>
      <w:r w:rsidR="00AC0E23" w:rsidRPr="00B578C4">
        <w:t xml:space="preserve"> A</w:t>
      </w:r>
      <w:r w:rsidRPr="00B578C4">
        <w:t>llerede fra</w:t>
      </w:r>
      <w:r w:rsidR="00B9121B" w:rsidRPr="00B578C4">
        <w:t xml:space="preserve"> 2010-2013</w:t>
      </w:r>
      <w:r w:rsidR="00AC0E23" w:rsidRPr="00B578C4">
        <w:t xml:space="preserve"> kunne der ses</w:t>
      </w:r>
      <w:r w:rsidR="00B9121B" w:rsidRPr="00B578C4">
        <w:t xml:space="preserve"> tegn på forbedringer</w:t>
      </w:r>
      <w:r w:rsidR="00AC0E23" w:rsidRPr="00B578C4">
        <w:t xml:space="preserve">. </w:t>
      </w:r>
    </w:p>
    <w:p w:rsidR="002C636E" w:rsidRPr="00B578C4" w:rsidRDefault="004B24C7" w:rsidP="002C4225">
      <w:r w:rsidRPr="00B578C4">
        <w:t>I forlængelse</w:t>
      </w:r>
      <w:r w:rsidR="00266E26" w:rsidRPr="00B578C4">
        <w:t xml:space="preserve"> af justeringen af rammelovgivningen </w:t>
      </w:r>
      <w:r w:rsidRPr="00B578C4">
        <w:t>vedtog Folketinget i 2012 en ny budgetlov, som har haft virkning fra finansåret 2014. Med</w:t>
      </w:r>
      <w:r w:rsidR="00266E26" w:rsidRPr="00B578C4">
        <w:t xml:space="preserve"> budgetloven blev </w:t>
      </w:r>
      <w:r w:rsidRPr="00B578C4">
        <w:t xml:space="preserve">et nyt </w:t>
      </w:r>
      <w:r w:rsidR="0049657B" w:rsidRPr="00B578C4">
        <w:t>udgiftsstyringssystem</w:t>
      </w:r>
      <w:r w:rsidRPr="00B578C4">
        <w:t xml:space="preserve"> med udgiftslofter for hhv. stat, regioner og kommuner</w:t>
      </w:r>
      <w:r w:rsidR="00266E26" w:rsidRPr="00B578C4">
        <w:t xml:space="preserve"> indført</w:t>
      </w:r>
      <w:r w:rsidRPr="00B578C4">
        <w:t xml:space="preserve">. Disse </w:t>
      </w:r>
      <w:r w:rsidR="002C636E" w:rsidRPr="00B578C4">
        <w:t>udgifts</w:t>
      </w:r>
      <w:r w:rsidR="00A425E5" w:rsidRPr="00B578C4">
        <w:t>lofter</w:t>
      </w:r>
      <w:r w:rsidRPr="00B578C4">
        <w:t xml:space="preserve"> </w:t>
      </w:r>
      <w:r w:rsidR="0049657B" w:rsidRPr="00B578C4">
        <w:t>skulle bidrage til</w:t>
      </w:r>
      <w:r w:rsidR="002C636E" w:rsidRPr="00B578C4">
        <w:t>,</w:t>
      </w:r>
      <w:r w:rsidR="0049657B" w:rsidRPr="00B578C4">
        <w:t xml:space="preserve"> at de offentlige udgifter udv</w:t>
      </w:r>
      <w:r w:rsidR="00FD6F75" w:rsidRPr="00B578C4">
        <w:t>iklede</w:t>
      </w:r>
      <w:r w:rsidR="0049657B" w:rsidRPr="00B578C4">
        <w:t xml:space="preserve"> sig i ov</w:t>
      </w:r>
      <w:r w:rsidR="00FD6F75" w:rsidRPr="00B578C4">
        <w:t xml:space="preserve">erensstemmelse med målsætningerne </w:t>
      </w:r>
      <w:r w:rsidR="0049657B" w:rsidRPr="00B578C4">
        <w:t xml:space="preserve">og prioriteterne i </w:t>
      </w:r>
      <w:r w:rsidR="00595F8D" w:rsidRPr="00B578C4">
        <w:t>2020-planen. Heriblandt var der lagt særlig vægt på finanspagtens krav til de offentlige finanser</w:t>
      </w:r>
      <w:r w:rsidR="00E0468D">
        <w:t xml:space="preserve"> med loft for accepterede underskud</w:t>
      </w:r>
      <w:r w:rsidR="00595F8D" w:rsidRPr="00B578C4">
        <w:t xml:space="preserve">. </w:t>
      </w:r>
      <w:r w:rsidRPr="00B578C4">
        <w:t>Udgiftsloftet indeb</w:t>
      </w:r>
      <w:r w:rsidR="00FD6F75" w:rsidRPr="00B578C4">
        <w:t>ærer</w:t>
      </w:r>
      <w:r w:rsidRPr="00B578C4">
        <w:t xml:space="preserve"> bl.a. et kommunalt udgiftsloft, der fastsætter en øvre grænse for de kommunale nettodriftsudgifter til service</w:t>
      </w:r>
      <w:r w:rsidR="002C636E" w:rsidRPr="00B578C4">
        <w:t>tjenester</w:t>
      </w:r>
      <w:r w:rsidRPr="00B578C4">
        <w:t xml:space="preserve">. </w:t>
      </w:r>
    </w:p>
    <w:p w:rsidR="00046E3B" w:rsidRPr="00B578C4" w:rsidRDefault="002C636E" w:rsidP="002C4225">
      <w:r w:rsidRPr="00B578C4">
        <w:t>I dag udg</w:t>
      </w:r>
      <w:r w:rsidR="001B52AF" w:rsidRPr="00B578C4">
        <w:t>ø</w:t>
      </w:r>
      <w:r w:rsidRPr="00B578C4">
        <w:t xml:space="preserve">r </w:t>
      </w:r>
      <w:r w:rsidR="00A425E5" w:rsidRPr="00B578C4">
        <w:t xml:space="preserve">kommunesektoren </w:t>
      </w:r>
      <w:r w:rsidR="00E93062" w:rsidRPr="00B578C4">
        <w:t>derfor ikke et økonomisk problem mht. budgetoverskridelser</w:t>
      </w:r>
      <w:r w:rsidRPr="00B578C4">
        <w:t>. Der er im</w:t>
      </w:r>
      <w:r w:rsidR="001B52AF" w:rsidRPr="00B578C4">
        <w:t>i</w:t>
      </w:r>
      <w:r w:rsidRPr="00B578C4">
        <w:t xml:space="preserve">dlertid stadig </w:t>
      </w:r>
      <w:r w:rsidR="00E93062" w:rsidRPr="00B578C4">
        <w:t>enkelte kommuner</w:t>
      </w:r>
      <w:r w:rsidR="00924EDD" w:rsidRPr="00B578C4">
        <w:t>,</w:t>
      </w:r>
      <w:r w:rsidR="00E93062" w:rsidRPr="00B578C4">
        <w:t xml:space="preserve"> som hvert år overskrider deres udgiftsrammer. Dette udgør </w:t>
      </w:r>
      <w:r w:rsidRPr="00B578C4">
        <w:t xml:space="preserve">et </w:t>
      </w:r>
      <w:r w:rsidR="00E93062" w:rsidRPr="00B578C4">
        <w:t>strukturel</w:t>
      </w:r>
      <w:r w:rsidRPr="00B578C4">
        <w:t>t</w:t>
      </w:r>
      <w:r w:rsidR="00E93062" w:rsidRPr="00B578C4">
        <w:t xml:space="preserve"> problem, som har</w:t>
      </w:r>
      <w:r w:rsidR="00EA228F" w:rsidRPr="00B578C4">
        <w:t xml:space="preserve"> betydelige konsekvenser for de samfundsøkonomiske balanceproblemer. </w:t>
      </w:r>
    </w:p>
    <w:p w:rsidR="000E0CAB" w:rsidRPr="00B578C4" w:rsidRDefault="002C636E" w:rsidP="002C4225">
      <w:r w:rsidRPr="00B578C4">
        <w:t>K</w:t>
      </w:r>
      <w:r w:rsidR="0028328D" w:rsidRPr="00B578C4">
        <w:t xml:space="preserve">ommunernes økonomiske beslutninger </w:t>
      </w:r>
      <w:r w:rsidR="000A587C">
        <w:t xml:space="preserve">har </w:t>
      </w:r>
      <w:r w:rsidR="0028328D" w:rsidRPr="00B578C4">
        <w:t>betydelige konsekvenser, som rækker ud over den enkelte kommunegrænse</w:t>
      </w:r>
      <w:r w:rsidR="00DE19F4" w:rsidRPr="00B578C4">
        <w:t xml:space="preserve"> (Christoffersen og L</w:t>
      </w:r>
      <w:r w:rsidR="0028328D" w:rsidRPr="00B578C4">
        <w:t>a</w:t>
      </w:r>
      <w:r w:rsidR="00DE19F4" w:rsidRPr="00B578C4">
        <w:t>r</w:t>
      </w:r>
      <w:r w:rsidR="0028328D" w:rsidRPr="00B578C4">
        <w:t xml:space="preserve">sen (2009)). </w:t>
      </w:r>
      <w:r w:rsidR="00DE19F4" w:rsidRPr="00B578C4">
        <w:t>Når kommunerne øger deres b</w:t>
      </w:r>
      <w:r w:rsidR="00924EDD" w:rsidRPr="00B578C4">
        <w:t>udget</w:t>
      </w:r>
      <w:r w:rsidRPr="00B578C4">
        <w:t>,</w:t>
      </w:r>
      <w:r w:rsidR="00924EDD" w:rsidRPr="00B578C4">
        <w:t xml:space="preserve"> og finansiere</w:t>
      </w:r>
      <w:r w:rsidR="00B808BD" w:rsidRPr="00B578C4">
        <w:t>r det m</w:t>
      </w:r>
      <w:r w:rsidR="00924EDD" w:rsidRPr="00B578C4">
        <w:t>ed</w:t>
      </w:r>
      <w:r w:rsidR="001B52AF" w:rsidRPr="00B578C4">
        <w:t xml:space="preserve"> </w:t>
      </w:r>
      <w:r w:rsidR="00924EDD" w:rsidRPr="00B578C4">
        <w:t>øgede</w:t>
      </w:r>
      <w:r w:rsidR="00DE19F4" w:rsidRPr="00B578C4">
        <w:t xml:space="preserve"> skatteindtægter, resulterer det i </w:t>
      </w:r>
      <w:r w:rsidR="00924EDD" w:rsidRPr="00B578C4">
        <w:t xml:space="preserve">en begrænsning af befolkningens </w:t>
      </w:r>
      <w:r w:rsidR="00DE19F4" w:rsidRPr="00B578C4">
        <w:t xml:space="preserve">rådighedsbeløb, som bruges på privat forbrug og privat </w:t>
      </w:r>
      <w:r w:rsidR="00924EDD" w:rsidRPr="00B578C4">
        <w:t>opsparing. Derved omfordeles</w:t>
      </w:r>
      <w:r w:rsidR="00DE19F4" w:rsidRPr="00B578C4">
        <w:t xml:space="preserve"> kapitalen fra privat opsparing til kommunalt forbrug. </w:t>
      </w:r>
      <w:r w:rsidR="006F676B" w:rsidRPr="00B578C4">
        <w:t xml:space="preserve">Da kommunerne ikke bærer de fulde samfundsomkostninger ved </w:t>
      </w:r>
      <w:r w:rsidR="00FD6F75" w:rsidRPr="00B578C4">
        <w:t>øgede udgifter</w:t>
      </w:r>
      <w:r w:rsidR="006F676B" w:rsidRPr="00B578C4">
        <w:t xml:space="preserve">, oplever de en for lav pris ift. de reelle omkostninger ved høje udgiftsniveauer. </w:t>
      </w:r>
      <w:r w:rsidR="00A106AA" w:rsidRPr="00B578C4">
        <w:t>Som resultat</w:t>
      </w:r>
      <w:r w:rsidR="00DE19F4" w:rsidRPr="00B578C4">
        <w:t xml:space="preserve"> vil kommunerne have </w:t>
      </w:r>
      <w:r w:rsidR="00924EDD" w:rsidRPr="00B578C4">
        <w:t>incitament</w:t>
      </w:r>
      <w:r w:rsidR="00DE19F4" w:rsidRPr="00B578C4">
        <w:t xml:space="preserve"> til at </w:t>
      </w:r>
      <w:r w:rsidR="00E0468D">
        <w:t>vælge</w:t>
      </w:r>
      <w:r w:rsidR="00DE19F4" w:rsidRPr="00B578C4">
        <w:t xml:space="preserve"> et udgiftsniveau </w:t>
      </w:r>
      <w:r w:rsidR="00924EDD" w:rsidRPr="00B578C4">
        <w:t xml:space="preserve">som er højere, </w:t>
      </w:r>
      <w:r w:rsidR="000E0CAB" w:rsidRPr="00B578C4">
        <w:t>end</w:t>
      </w:r>
      <w:r w:rsidR="00924EDD" w:rsidRPr="00B578C4">
        <w:t xml:space="preserve"> hvad der er </w:t>
      </w:r>
      <w:r w:rsidR="000E0CAB" w:rsidRPr="00B578C4">
        <w:t>samfundsmæssigt optimalt.</w:t>
      </w:r>
      <w:r w:rsidR="006F676B" w:rsidRPr="00B578C4">
        <w:t xml:space="preserve"> </w:t>
      </w:r>
      <w:r w:rsidR="000E0CAB" w:rsidRPr="00B578C4">
        <w:t>D</w:t>
      </w:r>
      <w:r w:rsidR="00DE19F4" w:rsidRPr="00B578C4">
        <w:t>ette</w:t>
      </w:r>
      <w:r w:rsidR="00823C4F" w:rsidRPr="00B578C4">
        <w:t xml:space="preserve"> udgiftspres</w:t>
      </w:r>
      <w:r w:rsidR="00DE19F4" w:rsidRPr="00B578C4">
        <w:t xml:space="preserve"> har resulteret i</w:t>
      </w:r>
      <w:r w:rsidR="00823C4F" w:rsidRPr="00B578C4">
        <w:t>, at</w:t>
      </w:r>
      <w:r w:rsidR="000E0CAB" w:rsidRPr="00B578C4">
        <w:t xml:space="preserve"> kommunesektoren </w:t>
      </w:r>
      <w:r w:rsidR="00A106AA" w:rsidRPr="00B578C4">
        <w:t>årligt</w:t>
      </w:r>
      <w:r w:rsidR="007C4AFB" w:rsidRPr="00B578C4">
        <w:t>, på nær 2010,</w:t>
      </w:r>
      <w:r w:rsidR="00FD6F75" w:rsidRPr="00B578C4">
        <w:t xml:space="preserve"> overskred de</w:t>
      </w:r>
      <w:r w:rsidR="000E0CAB" w:rsidRPr="00B578C4">
        <w:t xml:space="preserve"> budgetterede udgifter før 2012</w:t>
      </w:r>
      <w:r w:rsidR="007C4AFB" w:rsidRPr="00B578C4">
        <w:t>.</w:t>
      </w:r>
    </w:p>
    <w:p w:rsidR="00EA228F" w:rsidRPr="00B578C4" w:rsidRDefault="00823C4F" w:rsidP="002C4225">
      <w:r w:rsidRPr="00B578C4">
        <w:t>En stru</w:t>
      </w:r>
      <w:r w:rsidR="00BB186C" w:rsidRPr="00B578C4">
        <w:t>k</w:t>
      </w:r>
      <w:r w:rsidRPr="00B578C4">
        <w:t>turel mekanisme</w:t>
      </w:r>
      <w:r w:rsidR="00041FE2" w:rsidRPr="00B578C4">
        <w:t xml:space="preserve"> </w:t>
      </w:r>
      <w:r w:rsidR="000E0CAB" w:rsidRPr="00B578C4">
        <w:t>i det danske kommunesystem</w:t>
      </w:r>
      <w:r w:rsidRPr="00B578C4">
        <w:t xml:space="preserve"> </w:t>
      </w:r>
      <w:r w:rsidR="00041FE2" w:rsidRPr="00B578C4">
        <w:t>gør, at</w:t>
      </w:r>
      <w:r w:rsidR="000E0CAB" w:rsidRPr="00B578C4">
        <w:t xml:space="preserve"> kommunerne ikke er tvunget til at indhente tidligere budgetoverskridelser ved efterfølgende budgetreduktioner. Når en </w:t>
      </w:r>
      <w:r w:rsidR="00924EDD" w:rsidRPr="00B578C4">
        <w:t>kommunes</w:t>
      </w:r>
      <w:r w:rsidR="000E0CAB" w:rsidRPr="00B578C4">
        <w:t xml:space="preserve"> budgetoverskridelse opgøres, inddrages overskridelsen i det efterfølgende års forhandlinger med regeringen, hvor der forhandles økono</w:t>
      </w:r>
      <w:r w:rsidR="00924EDD" w:rsidRPr="00B578C4">
        <w:t>mi til det næstfølgende år. Der</w:t>
      </w:r>
      <w:r w:rsidR="000E0CAB" w:rsidRPr="00B578C4">
        <w:t>ved kan kommunale budgetoverskridelser et år lede til en stigning i udgiftsrammen to år efter overskridelsen f</w:t>
      </w:r>
      <w:r w:rsidR="00B808BD" w:rsidRPr="00B578C4">
        <w:t>inder</w:t>
      </w:r>
      <w:r w:rsidR="00041FE2" w:rsidRPr="00B578C4">
        <w:t xml:space="preserve"> </w:t>
      </w:r>
      <w:r w:rsidR="00041FE2" w:rsidRPr="00B578C4">
        <w:lastRenderedPageBreak/>
        <w:t xml:space="preserve">sted. </w:t>
      </w:r>
      <w:r w:rsidR="000E0CAB" w:rsidRPr="00B578C4">
        <w:t>Denne proces kan få negative konsekvenser for samfundsøkonomien. Eksempelvis kan der opstå strukturelle skævheder i kommunesystemet, hvor kommuner</w:t>
      </w:r>
      <w:r w:rsidRPr="00B578C4">
        <w:t>,</w:t>
      </w:r>
      <w:r w:rsidR="000E0CAB" w:rsidRPr="00B578C4">
        <w:t xml:space="preserve"> der overskrider deres budget</w:t>
      </w:r>
      <w:r w:rsidRPr="00B578C4">
        <w:t>,</w:t>
      </w:r>
      <w:r w:rsidR="000E0CAB" w:rsidRPr="00B578C4">
        <w:t xml:space="preserve"> vil øge </w:t>
      </w:r>
      <w:r w:rsidR="000E0CAB" w:rsidRPr="00B578C4">
        <w:rPr>
          <w:color w:val="000000" w:themeColor="text1"/>
        </w:rPr>
        <w:t>deres indkomst</w:t>
      </w:r>
      <w:r w:rsidR="003C012D" w:rsidRPr="00B578C4">
        <w:rPr>
          <w:color w:val="76923C" w:themeColor="accent3" w:themeShade="BF"/>
        </w:rPr>
        <w:t xml:space="preserve"> </w:t>
      </w:r>
      <w:r w:rsidR="000E0CAB" w:rsidRPr="00B578C4">
        <w:t>fra staten</w:t>
      </w:r>
      <w:r w:rsidR="00FC3FC1" w:rsidRPr="00B578C4">
        <w:t>. Derudover har kommuner</w:t>
      </w:r>
      <w:r w:rsidR="00B808BD" w:rsidRPr="00B578C4">
        <w:t>,</w:t>
      </w:r>
      <w:r w:rsidR="00FC3FC1" w:rsidRPr="00B578C4">
        <w:t xml:space="preserve"> som overskrider</w:t>
      </w:r>
      <w:r w:rsidR="00BB186C" w:rsidRPr="00B578C4">
        <w:t xml:space="preserve"> bu</w:t>
      </w:r>
      <w:r w:rsidRPr="00B578C4">
        <w:t>d</w:t>
      </w:r>
      <w:r w:rsidR="00BB186C" w:rsidRPr="00B578C4">
        <w:t>g</w:t>
      </w:r>
      <w:r w:rsidRPr="00B578C4">
        <w:t>etaftalerne,</w:t>
      </w:r>
      <w:r w:rsidR="00FC3FC1" w:rsidRPr="00B578C4">
        <w:t xml:space="preserve"> mulighed for at udskyde spændingerne på kort og mellemlangt sigt ved fx at sælge aktiver. Dette kan resultere i, at nogle kommuner i længere tid</w:t>
      </w:r>
      <w:r w:rsidR="00F67954" w:rsidRPr="00B578C4">
        <w:t xml:space="preserve"> kan fastholde en ikke-bæredygtig </w:t>
      </w:r>
      <w:r w:rsidR="00FC3FC1" w:rsidRPr="00B578C4">
        <w:t>økonomi uden at blive tvunget til at ændre kurs, men</w:t>
      </w:r>
      <w:r w:rsidR="00924EDD" w:rsidRPr="00B578C4">
        <w:t>s</w:t>
      </w:r>
      <w:r w:rsidR="00FC3FC1" w:rsidRPr="00B578C4">
        <w:t xml:space="preserve"> nogle kommuner </w:t>
      </w:r>
      <w:r w:rsidR="00263F87">
        <w:t xml:space="preserve">på den anden side </w:t>
      </w:r>
      <w:r w:rsidR="00FC3FC1" w:rsidRPr="00B578C4">
        <w:t>vil udvikle en stærk</w:t>
      </w:r>
      <w:r w:rsidR="00924EDD" w:rsidRPr="00B578C4">
        <w:t xml:space="preserve"> </w:t>
      </w:r>
      <w:r w:rsidR="00432A58">
        <w:t>og bæredygtig</w:t>
      </w:r>
      <w:r w:rsidR="00FC3FC1" w:rsidRPr="00B578C4">
        <w:t xml:space="preserve"> økonomi</w:t>
      </w:r>
      <w:r w:rsidR="00432A58">
        <w:t xml:space="preserve"> med effektive og økonomisk fornuftige strukturer</w:t>
      </w:r>
      <w:r w:rsidR="00FC3FC1" w:rsidRPr="00B578C4">
        <w:t>.</w:t>
      </w:r>
    </w:p>
    <w:p w:rsidR="00B578C4" w:rsidRPr="00157C04" w:rsidRDefault="00D26A43">
      <w:r w:rsidRPr="00B578C4">
        <w:t xml:space="preserve">Dette papir undersøger hvilke kommunale </w:t>
      </w:r>
      <w:r w:rsidR="00B96FDE" w:rsidRPr="00B578C4">
        <w:t>karakteristika</w:t>
      </w:r>
      <w:r w:rsidR="00924EDD" w:rsidRPr="00B578C4">
        <w:t>,</w:t>
      </w:r>
      <w:r w:rsidRPr="00B578C4">
        <w:t xml:space="preserve"> </w:t>
      </w:r>
      <w:r w:rsidR="00A106AA" w:rsidRPr="00B578C4">
        <w:t>der påvirker kommunernes</w:t>
      </w:r>
      <w:r w:rsidRPr="00B578C4">
        <w:t xml:space="preserve"> budget</w:t>
      </w:r>
      <w:r w:rsidR="007C4AFB" w:rsidRPr="00B578C4">
        <w:t>disciplin</w:t>
      </w:r>
      <w:r w:rsidRPr="00B578C4">
        <w:t>. Det resterende af papiret er organiseret på følgen</w:t>
      </w:r>
      <w:r w:rsidR="0028328D" w:rsidRPr="00B578C4">
        <w:t xml:space="preserve">de måde: Sektion </w:t>
      </w:r>
      <w:r w:rsidR="00087945">
        <w:t>4</w:t>
      </w:r>
      <w:r w:rsidR="0028328D" w:rsidRPr="00B578C4">
        <w:t xml:space="preserve"> beskriver</w:t>
      </w:r>
      <w:r w:rsidRPr="00B578C4">
        <w:t xml:space="preserve"> graden af budgetoverholdelse; </w:t>
      </w:r>
      <w:r w:rsidR="0028328D" w:rsidRPr="00B578C4">
        <w:t>S</w:t>
      </w:r>
      <w:r w:rsidRPr="00B578C4">
        <w:t xml:space="preserve">ektion </w:t>
      </w:r>
      <w:r w:rsidR="00087945">
        <w:t>5</w:t>
      </w:r>
      <w:r w:rsidRPr="00B578C4">
        <w:t xml:space="preserve"> beskriver mulige forklaringer på</w:t>
      </w:r>
      <w:r w:rsidR="007C4AFB" w:rsidRPr="00B578C4">
        <w:t>,</w:t>
      </w:r>
      <w:r w:rsidRPr="00B578C4">
        <w:t xml:space="preserve"> hvorfor budgetterne </w:t>
      </w:r>
      <w:r w:rsidR="00EC771F" w:rsidRPr="00B578C4">
        <w:t>ikke overholdes</w:t>
      </w:r>
      <w:r w:rsidRPr="00B578C4">
        <w:t xml:space="preserve">; </w:t>
      </w:r>
      <w:r w:rsidR="0028328D" w:rsidRPr="00B578C4">
        <w:t>S</w:t>
      </w:r>
      <w:r w:rsidRPr="00B578C4">
        <w:t xml:space="preserve">ektion </w:t>
      </w:r>
      <w:r w:rsidR="00087945">
        <w:t>6</w:t>
      </w:r>
      <w:r w:rsidRPr="00B578C4">
        <w:t xml:space="preserve"> præ</w:t>
      </w:r>
      <w:r w:rsidR="00EC771F" w:rsidRPr="00B578C4">
        <w:t xml:space="preserve">senterer den empiriske analyse, </w:t>
      </w:r>
      <w:r w:rsidRPr="00B578C4">
        <w:t>herunder en statistisk analyse af hvad som påvirker overskridelse</w:t>
      </w:r>
      <w:r w:rsidR="00B808BD" w:rsidRPr="00B578C4">
        <w:t>r</w:t>
      </w:r>
      <w:r w:rsidRPr="00B578C4">
        <w:t xml:space="preserve"> for hhv. nettodriftsudgifter</w:t>
      </w:r>
      <w:r w:rsidR="007C4AFB" w:rsidRPr="00B578C4">
        <w:t>ne</w:t>
      </w:r>
      <w:r w:rsidRPr="00B578C4">
        <w:t xml:space="preserve"> og serviceud</w:t>
      </w:r>
      <w:r w:rsidR="0028328D" w:rsidRPr="00B578C4">
        <w:t>gifter</w:t>
      </w:r>
      <w:r w:rsidR="007C4AFB" w:rsidRPr="00B578C4">
        <w:t>ne</w:t>
      </w:r>
      <w:r w:rsidR="0028328D" w:rsidRPr="00B578C4">
        <w:t>; og S</w:t>
      </w:r>
      <w:r w:rsidR="00EC771F" w:rsidRPr="00B578C4">
        <w:t xml:space="preserve">ektion </w:t>
      </w:r>
      <w:r w:rsidR="00E36041">
        <w:t>7</w:t>
      </w:r>
      <w:r w:rsidR="00EC771F" w:rsidRPr="00B578C4">
        <w:t xml:space="preserve"> diskuterer forskellige </w:t>
      </w:r>
      <w:r w:rsidR="00E17BFA" w:rsidRPr="00B578C4">
        <w:t>overvejelser</w:t>
      </w:r>
      <w:r w:rsidR="00EC771F" w:rsidRPr="00B578C4">
        <w:t xml:space="preserve"> </w:t>
      </w:r>
      <w:r w:rsidRPr="00B578C4">
        <w:t xml:space="preserve">til sikring af </w:t>
      </w:r>
      <w:r w:rsidR="00EC771F" w:rsidRPr="00B578C4">
        <w:t xml:space="preserve">en </w:t>
      </w:r>
      <w:r w:rsidRPr="00B578C4">
        <w:t>mere holdbar budgetdisciplin.</w:t>
      </w:r>
    </w:p>
    <w:p w:rsidR="002C4225" w:rsidRDefault="002C4225" w:rsidP="002C4225">
      <w:pPr>
        <w:pStyle w:val="Overskrift1"/>
      </w:pPr>
      <w:bookmarkStart w:id="11" w:name="_Toc532903351"/>
      <w:bookmarkStart w:id="12" w:name="_Toc532903584"/>
      <w:r w:rsidRPr="002C4225">
        <w:t>Budgetoverholdelsen i kommunerne</w:t>
      </w:r>
      <w:bookmarkEnd w:id="11"/>
      <w:bookmarkEnd w:id="12"/>
    </w:p>
    <w:p w:rsidR="00EC771F" w:rsidRDefault="002C4225" w:rsidP="002C4225">
      <w:r>
        <w:br/>
      </w:r>
      <w:r w:rsidR="00D04932" w:rsidRPr="00B578C4">
        <w:t xml:space="preserve">Overordnet set </w:t>
      </w:r>
      <w:r w:rsidR="0043155A" w:rsidRPr="00B578C4">
        <w:t xml:space="preserve">overskrider </w:t>
      </w:r>
      <w:r w:rsidR="00D04932" w:rsidRPr="00B578C4">
        <w:t xml:space="preserve">kommunesektoren under ét ikke budgettet </w:t>
      </w:r>
      <w:r w:rsidR="00824209" w:rsidRPr="00B578C4">
        <w:t>for nettodriftsudgifter</w:t>
      </w:r>
      <w:r w:rsidR="00B96FDE" w:rsidRPr="00B578C4">
        <w:t>ne</w:t>
      </w:r>
      <w:r w:rsidR="0043155A" w:rsidRPr="00B578C4">
        <w:t xml:space="preserve"> for 2017</w:t>
      </w:r>
      <w:r w:rsidR="00D04932" w:rsidRPr="00B578C4">
        <w:t xml:space="preserve">. Tværtimod er der et overskud på 4,9 mia. kr. </w:t>
      </w:r>
      <w:r w:rsidR="00487B06" w:rsidRPr="00B578C4">
        <w:t>svarende til 1,4 pct</w:t>
      </w:r>
      <w:r w:rsidR="00D04932" w:rsidRPr="00B578C4">
        <w:t xml:space="preserve">. </w:t>
      </w:r>
      <w:r w:rsidR="00FC3FC1" w:rsidRPr="00B578C4">
        <w:t>Det er</w:t>
      </w:r>
      <w:r w:rsidR="00D04932" w:rsidRPr="00B578C4">
        <w:t xml:space="preserve"> dog</w:t>
      </w:r>
      <w:r w:rsidR="00FC3FC1" w:rsidRPr="00B578C4">
        <w:t xml:space="preserve"> bemærkelsesværdigt, at der blandt de 98 kommuner er en betydelig forskel</w:t>
      </w:r>
      <w:r w:rsidR="00D04932" w:rsidRPr="00B578C4">
        <w:t xml:space="preserve"> </w:t>
      </w:r>
      <w:r w:rsidR="00FC3FC1" w:rsidRPr="00B578C4">
        <w:t>på, i hvilken grad budgetterne overholdes.</w:t>
      </w:r>
      <w:r w:rsidR="00D04932" w:rsidRPr="00B578C4">
        <w:t xml:space="preserve"> Figur 1 viser kommunernes procentvise overskridelse af de budgetterede nettodriftsudgifter for 2017. Blandt de 98 kommuner </w:t>
      </w:r>
      <w:r w:rsidR="00B065E6" w:rsidRPr="00B578C4">
        <w:t>er der 21, som overskrider udgifter</w:t>
      </w:r>
      <w:r w:rsidR="007C4AFB" w:rsidRPr="00B578C4">
        <w:t>ne</w:t>
      </w:r>
      <w:r w:rsidR="00B065E6" w:rsidRPr="00B578C4">
        <w:t>. Den kommune</w:t>
      </w:r>
      <w:r w:rsidR="0043155A" w:rsidRPr="00B578C4">
        <w:t>,</w:t>
      </w:r>
      <w:r w:rsidR="00B065E6" w:rsidRPr="00B578C4">
        <w:t xml:space="preserve"> som har det største </w:t>
      </w:r>
      <w:r w:rsidR="00EC771F" w:rsidRPr="00B578C4">
        <w:t>overskud, er Samsø</w:t>
      </w:r>
      <w:r w:rsidR="0065365B" w:rsidRPr="00B578C4">
        <w:t xml:space="preserve"> svarende til 14,9 pct</w:t>
      </w:r>
      <w:r w:rsidR="003C012D" w:rsidRPr="00B578C4">
        <w:t>.</w:t>
      </w:r>
      <w:r w:rsidR="0043155A" w:rsidRPr="00B578C4">
        <w:t xml:space="preserve"> </w:t>
      </w:r>
      <w:r w:rsidR="0065365B" w:rsidRPr="00B578C4">
        <w:t>af</w:t>
      </w:r>
      <w:r w:rsidR="00B065E6" w:rsidRPr="00B578C4">
        <w:t xml:space="preserve"> budgettet</w:t>
      </w:r>
      <w:r w:rsidR="0065365B" w:rsidRPr="00B578C4">
        <w:t xml:space="preserve">. Omvendt er den </w:t>
      </w:r>
      <w:r w:rsidR="00B065E6" w:rsidRPr="00B578C4">
        <w:t>kommune</w:t>
      </w:r>
      <w:r w:rsidR="0065365B" w:rsidRPr="00B578C4">
        <w:t>,</w:t>
      </w:r>
      <w:r w:rsidR="00B065E6" w:rsidRPr="00B578C4">
        <w:t xml:space="preserve"> som overskrider budgettet mest</w:t>
      </w:r>
      <w:r w:rsidR="00A106AA" w:rsidRPr="00B578C4">
        <w:t>,</w:t>
      </w:r>
      <w:r w:rsidR="00B065E6" w:rsidRPr="00B578C4">
        <w:t xml:space="preserve"> Fanø</w:t>
      </w:r>
      <w:r w:rsidR="0065365B" w:rsidRPr="00B578C4">
        <w:t xml:space="preserve"> med </w:t>
      </w:r>
      <w:r w:rsidR="00B305D9" w:rsidRPr="00B578C4">
        <w:t>underskud svarende til 5,1 pct. I bilag 2 er de</w:t>
      </w:r>
      <w:r w:rsidR="00EC771F" w:rsidRPr="00B578C4">
        <w:t>r</w:t>
      </w:r>
      <w:r w:rsidR="00B305D9" w:rsidRPr="00B578C4">
        <w:t xml:space="preserve"> vist tal for alle kommuners budgetoverholdelse mht. nettodriftsudgifterne for 2016 og 2017. </w:t>
      </w:r>
      <w:r w:rsidR="006107B9" w:rsidRPr="00B578C4">
        <w:t>Hvis man akkumulerer de overskredne kommuners underskud</w:t>
      </w:r>
      <w:r w:rsidR="00EC771F" w:rsidRPr="00B578C4">
        <w:t>,</w:t>
      </w:r>
      <w:r w:rsidR="006107B9" w:rsidRPr="00B578C4">
        <w:t xml:space="preserve"> kan man dann</w:t>
      </w:r>
      <w:r w:rsidR="00EC771F" w:rsidRPr="00B578C4">
        <w:t xml:space="preserve">e sig et estimat </w:t>
      </w:r>
      <w:r w:rsidR="006107B9" w:rsidRPr="00B578C4">
        <w:t>for</w:t>
      </w:r>
      <w:r w:rsidR="00EC771F" w:rsidRPr="00B578C4">
        <w:t>,</w:t>
      </w:r>
      <w:r w:rsidR="006107B9" w:rsidRPr="00B578C4">
        <w:t xml:space="preserve"> hvor stort et besparelsespotentiale staten har, hvis ingen kommuner overskrider deres budget. </w:t>
      </w:r>
      <w:r w:rsidR="0065365B" w:rsidRPr="00B578C4">
        <w:t xml:space="preserve">Hvis ingen kommuner overskrider deres budget i 2017, vil der </w:t>
      </w:r>
      <w:r w:rsidR="00EC771F" w:rsidRPr="00B578C4">
        <w:t>blive frigjort 547 mio. kr</w:t>
      </w:r>
      <w:r w:rsidR="003C012D" w:rsidRPr="00B578C4">
        <w:t>.</w:t>
      </w:r>
      <w:r w:rsidR="0065365B" w:rsidRPr="00B578C4">
        <w:t xml:space="preserve"> på statens budget.</w:t>
      </w:r>
    </w:p>
    <w:p w:rsidR="002C4225" w:rsidRDefault="002C4225" w:rsidP="002C4225">
      <w:pPr>
        <w:pStyle w:val="Billedtekst"/>
      </w:pPr>
    </w:p>
    <w:tbl>
      <w:tblPr>
        <w:tblStyle w:val="Tabel-Gitter"/>
        <w:tblW w:w="9596" w:type="dxa"/>
        <w:tblCellMar>
          <w:left w:w="0" w:type="dxa"/>
          <w:right w:w="0" w:type="dxa"/>
        </w:tblCellMar>
        <w:tblLook w:val="04A0" w:firstRow="1" w:lastRow="0" w:firstColumn="1" w:lastColumn="0" w:noHBand="0" w:noVBand="1"/>
      </w:tblPr>
      <w:tblGrid>
        <w:gridCol w:w="9596"/>
      </w:tblGrid>
      <w:tr w:rsidR="002C4225" w:rsidTr="002C4225">
        <w:trPr>
          <w:cantSplit/>
          <w:trHeight w:hRule="exact" w:val="591"/>
        </w:trPr>
        <w:tc>
          <w:tcPr>
            <w:tcW w:w="9596" w:type="dxa"/>
            <w:shd w:val="clear" w:color="auto" w:fill="003865"/>
          </w:tcPr>
          <w:p w:rsidR="002C4225" w:rsidRDefault="002C4225" w:rsidP="002C4225">
            <w:r>
              <w:t xml:space="preserve">Figur </w:t>
            </w:r>
            <w:r w:rsidR="007A755D">
              <w:fldChar w:fldCharType="begin"/>
            </w:r>
            <w:r w:rsidR="007A755D">
              <w:instrText xml:space="preserve"> SEQ Figur \* ARABIC </w:instrText>
            </w:r>
            <w:r w:rsidR="007A755D">
              <w:fldChar w:fldCharType="separate"/>
            </w:r>
            <w:r w:rsidR="00470072">
              <w:rPr>
                <w:noProof/>
              </w:rPr>
              <w:t>1</w:t>
            </w:r>
            <w:r w:rsidR="007A755D">
              <w:rPr>
                <w:noProof/>
              </w:rPr>
              <w:fldChar w:fldCharType="end"/>
            </w:r>
            <w:r>
              <w:t xml:space="preserve">. </w:t>
            </w:r>
            <w:r w:rsidRPr="00D25EA8">
              <w:rPr>
                <w:rFonts w:eastAsia="Times New Roman" w:cs="Calibri"/>
                <w:color w:val="FFFFFF"/>
                <w:lang w:eastAsia="da-DK"/>
              </w:rPr>
              <w:t>Kommunernes procentvise overskridelse af de budgetterede nettodriftsudgifter 2017</w:t>
            </w:r>
          </w:p>
        </w:tc>
      </w:tr>
      <w:tr w:rsidR="002C4225" w:rsidTr="002C4225">
        <w:trPr>
          <w:cantSplit/>
          <w:trHeight w:val="5508"/>
        </w:trPr>
        <w:tc>
          <w:tcPr>
            <w:tcW w:w="9596" w:type="dxa"/>
          </w:tcPr>
          <w:p w:rsidR="002C4225" w:rsidRDefault="002C4225" w:rsidP="002C4225">
            <w:r>
              <w:rPr>
                <w:rFonts w:ascii="Calibri" w:eastAsia="Times New Roman" w:hAnsi="Calibri" w:cs="Calibri"/>
                <w:noProof/>
                <w:color w:val="000000"/>
                <w:lang w:eastAsia="da-DK"/>
              </w:rPr>
              <w:lastRenderedPageBreak/>
              <w:drawing>
                <wp:inline distT="0" distB="0" distL="0" distR="0" wp14:anchorId="7C944D14">
                  <wp:extent cx="6038850" cy="3409950"/>
                  <wp:effectExtent l="0" t="0" r="0" b="0"/>
                  <wp:docPr id="14" name="Diagra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4225" w:rsidRPr="002C4225" w:rsidRDefault="002C4225" w:rsidP="002C4225">
            <w:pPr>
              <w:pStyle w:val="Undertekstfigur"/>
            </w:pPr>
            <w:r w:rsidRPr="002C4225">
              <w:t>Anm: Den røde søjle angiver underskridelsen for kommunesektoren under ét</w:t>
            </w:r>
          </w:p>
          <w:p w:rsidR="002C4225" w:rsidRDefault="002C4225" w:rsidP="002C4225">
            <w:pPr>
              <w:pStyle w:val="Undertekstfigur"/>
            </w:pPr>
            <w:r w:rsidRPr="002C4225">
              <w:t>Kilde: dst.dk</w:t>
            </w:r>
            <w:r>
              <w:tab/>
              <w:t xml:space="preserve"> </w:t>
            </w:r>
            <w:r>
              <w:tab/>
              <w:t xml:space="preserve"> </w:t>
            </w:r>
            <w:r>
              <w:tab/>
              <w:t xml:space="preserve"> </w:t>
            </w:r>
            <w:r>
              <w:tab/>
              <w:t xml:space="preserve"> </w:t>
            </w:r>
            <w:r>
              <w:tab/>
            </w:r>
          </w:p>
        </w:tc>
      </w:tr>
    </w:tbl>
    <w:p w:rsidR="002C4225" w:rsidRDefault="002C4225" w:rsidP="006107B9">
      <w:pPr>
        <w:rPr>
          <w:sz w:val="28"/>
          <w:szCs w:val="28"/>
        </w:rPr>
      </w:pPr>
    </w:p>
    <w:p w:rsidR="00C8132C" w:rsidRDefault="00B305D9" w:rsidP="002C4225">
      <w:r w:rsidRPr="00B578C4">
        <w:t>Nettodriftsudgifterne udg</w:t>
      </w:r>
      <w:r w:rsidR="002C0413" w:rsidRPr="00B578C4">
        <w:t xml:space="preserve">ør rammen for serviceniveauet, </w:t>
      </w:r>
      <w:r w:rsidRPr="00B578C4">
        <w:t>som levere</w:t>
      </w:r>
      <w:r w:rsidR="0065365B" w:rsidRPr="00B578C4">
        <w:t>s</w:t>
      </w:r>
      <w:r w:rsidRPr="00B578C4">
        <w:t xml:space="preserve"> i kommunerne. Imidlertid er det de såkaldte serviceudgifter</w:t>
      </w:r>
      <w:r w:rsidR="007C4AFB" w:rsidRPr="00B578C4">
        <w:t>,</w:t>
      </w:r>
      <w:r w:rsidRPr="00B578C4">
        <w:t xml:space="preserve"> der laves aftaler om, når KL og regeringen årligt forhandler rammeaftaler. Serviceudgifter</w:t>
      </w:r>
      <w:r w:rsidR="007C4AFB" w:rsidRPr="00B578C4">
        <w:t>ne</w:t>
      </w:r>
      <w:r w:rsidRPr="00B578C4">
        <w:t xml:space="preserve"> dækker over kommunens udgifter til den daglige drift af serviceproduktion fx udgifter til </w:t>
      </w:r>
      <w:proofErr w:type="spellStart"/>
      <w:r w:rsidRPr="00B578C4">
        <w:t>dagsinstitutioner</w:t>
      </w:r>
      <w:proofErr w:type="spellEnd"/>
      <w:r w:rsidRPr="00B578C4">
        <w:t>, folkeskoler, kommunernes del af sundhedsområdet mv. Argumentet for at fokusere på serviceudgifterne i budgetforhandlin</w:t>
      </w:r>
      <w:r w:rsidR="00487B06" w:rsidRPr="00B578C4">
        <w:t xml:space="preserve">gerne er formentlig, at kommunerne har størst indflydelse på disse former for udgifter. For regnskabstallene for kommunesektoren under ét i 2017 udgør serviceudgifterne 68,7 pct. af de samlede nettodriftsudgifter. </w:t>
      </w:r>
    </w:p>
    <w:p w:rsidR="002C4225" w:rsidRDefault="002C4225" w:rsidP="002C4225">
      <w:pPr>
        <w:pStyle w:val="Billedtekst"/>
      </w:pPr>
    </w:p>
    <w:tbl>
      <w:tblPr>
        <w:tblStyle w:val="Tabel-Gitter"/>
        <w:tblW w:w="9536" w:type="dxa"/>
        <w:tblLayout w:type="fixed"/>
        <w:tblCellMar>
          <w:left w:w="0" w:type="dxa"/>
          <w:right w:w="0" w:type="dxa"/>
        </w:tblCellMar>
        <w:tblLook w:val="04A0" w:firstRow="1" w:lastRow="0" w:firstColumn="1" w:lastColumn="0" w:noHBand="0" w:noVBand="1"/>
      </w:tblPr>
      <w:tblGrid>
        <w:gridCol w:w="9536"/>
      </w:tblGrid>
      <w:tr w:rsidR="002C4225" w:rsidTr="002C4225">
        <w:trPr>
          <w:cantSplit/>
          <w:trHeight w:hRule="exact" w:val="387"/>
        </w:trPr>
        <w:tc>
          <w:tcPr>
            <w:tcW w:w="9536" w:type="dxa"/>
            <w:shd w:val="clear" w:color="auto" w:fill="003865"/>
          </w:tcPr>
          <w:p w:rsidR="002C4225" w:rsidRDefault="002C4225" w:rsidP="002C4225">
            <w:r>
              <w:t xml:space="preserve">Figur </w:t>
            </w:r>
            <w:r w:rsidR="007A755D">
              <w:fldChar w:fldCharType="begin"/>
            </w:r>
            <w:r w:rsidR="007A755D">
              <w:instrText xml:space="preserve"> SEQ Figur \* ARABIC </w:instrText>
            </w:r>
            <w:r w:rsidR="007A755D">
              <w:fldChar w:fldCharType="separate"/>
            </w:r>
            <w:r w:rsidR="00470072">
              <w:rPr>
                <w:noProof/>
              </w:rPr>
              <w:t>2</w:t>
            </w:r>
            <w:r w:rsidR="007A755D">
              <w:rPr>
                <w:noProof/>
              </w:rPr>
              <w:fldChar w:fldCharType="end"/>
            </w:r>
            <w:r>
              <w:t xml:space="preserve">. </w:t>
            </w:r>
            <w:r w:rsidRPr="002C4225">
              <w:t>Kommunernes procentvise overskridelse af de budgetterede serviceudgifter 2017</w:t>
            </w:r>
          </w:p>
        </w:tc>
      </w:tr>
      <w:tr w:rsidR="002C4225" w:rsidTr="002C4225">
        <w:trPr>
          <w:cantSplit/>
          <w:trHeight w:val="497"/>
        </w:trPr>
        <w:tc>
          <w:tcPr>
            <w:tcW w:w="9536" w:type="dxa"/>
          </w:tcPr>
          <w:p w:rsidR="002C4225" w:rsidRDefault="002C4225" w:rsidP="002C4225">
            <w:pPr>
              <w:pStyle w:val="Undertekstfigur"/>
            </w:pPr>
            <w:r>
              <w:rPr>
                <w:rFonts w:ascii="Calibri" w:eastAsia="Times New Roman" w:hAnsi="Calibri" w:cs="Calibri"/>
                <w:noProof/>
                <w:color w:val="000000"/>
                <w:lang w:eastAsia="da-DK"/>
              </w:rPr>
              <w:lastRenderedPageBreak/>
              <w:drawing>
                <wp:inline distT="0" distB="0" distL="0" distR="0" wp14:anchorId="3B6A3AE4" wp14:editId="7561FED6">
                  <wp:extent cx="5972175" cy="2990850"/>
                  <wp:effectExtent l="0" t="0" r="0" b="0"/>
                  <wp:docPr id="15" name="Diagram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4225" w:rsidRDefault="002C4225" w:rsidP="002C4225">
            <w:pPr>
              <w:pStyle w:val="Undertekstfigur"/>
            </w:pPr>
            <w:r>
              <w:t>Anm: Den røde søjle angiver underskridelsen for kommunesektoren under ét.</w:t>
            </w:r>
          </w:p>
          <w:p w:rsidR="002C4225" w:rsidRDefault="002C4225" w:rsidP="002C4225">
            <w:pPr>
              <w:pStyle w:val="Undertekstfigur"/>
            </w:pPr>
            <w:r>
              <w:t>Kilde: dst.dk</w:t>
            </w:r>
          </w:p>
        </w:tc>
      </w:tr>
    </w:tbl>
    <w:p w:rsidR="005413B4" w:rsidRDefault="005413B4" w:rsidP="006107B9">
      <w:pPr>
        <w:rPr>
          <w:rFonts w:ascii="Times New Roman" w:hAnsi="Times New Roman"/>
          <w:sz w:val="28"/>
          <w:szCs w:val="28"/>
        </w:rPr>
      </w:pPr>
      <w:bookmarkStart w:id="13" w:name="_Hlk528590110"/>
    </w:p>
    <w:p w:rsidR="006107B9" w:rsidRPr="00B578C4" w:rsidRDefault="00487B06" w:rsidP="005413B4">
      <w:r w:rsidRPr="00B578C4">
        <w:t>Kommun</w:t>
      </w:r>
      <w:r w:rsidR="00BD0AD5" w:rsidRPr="00B578C4">
        <w:t xml:space="preserve">esektoren under ét overskrider heller </w:t>
      </w:r>
      <w:r w:rsidRPr="00B578C4">
        <w:t>ikke budgettet for 2017 ift. serviceudgifter</w:t>
      </w:r>
      <w:r w:rsidR="005D3014" w:rsidRPr="00B578C4">
        <w:t>ne</w:t>
      </w:r>
      <w:r w:rsidRPr="00B578C4">
        <w:t xml:space="preserve">. Her underskrides budgettet med 1,3 mia. kr. svarende til 1,2 pct. Figur 2 viser kommunernes procentvise overskridelse af de budgetterede serviceudgifter for 2017. Graden af budgetoverholdelsen for serviceudgifterne varierer </w:t>
      </w:r>
      <w:r w:rsidR="00BD0AD5" w:rsidRPr="00B578C4">
        <w:t xml:space="preserve">ligeledes </w:t>
      </w:r>
      <w:r w:rsidRPr="00B578C4">
        <w:t>mellem kommunerne. Der findes 40 kommuner som enkeltvis overskrider budgettet</w:t>
      </w:r>
      <w:r w:rsidR="00EC771F" w:rsidRPr="00B578C4">
        <w:t xml:space="preserve"> i 2017</w:t>
      </w:r>
      <w:r w:rsidRPr="00B578C4">
        <w:t>. Igen er det Fanø</w:t>
      </w:r>
      <w:r w:rsidR="00EC771F" w:rsidRPr="00B578C4">
        <w:t xml:space="preserve"> og Samsø</w:t>
      </w:r>
      <w:r w:rsidRPr="00B578C4">
        <w:t xml:space="preserve">, som udgør de </w:t>
      </w:r>
      <w:r w:rsidR="00DB5940" w:rsidRPr="00B578C4">
        <w:t xml:space="preserve">to mest ekstreme tilfælde ift. </w:t>
      </w:r>
      <w:r w:rsidR="00EC771F" w:rsidRPr="00B578C4">
        <w:t>budgetoverholdelse med en over</w:t>
      </w:r>
      <w:r w:rsidR="00DB5940" w:rsidRPr="00B578C4">
        <w:t>sk</w:t>
      </w:r>
      <w:r w:rsidR="00EC771F" w:rsidRPr="00B578C4">
        <w:t>ridelse på 6,8 pct. og en underskridelse på 14,7</w:t>
      </w:r>
      <w:r w:rsidR="00DB5940" w:rsidRPr="00B578C4">
        <w:t xml:space="preserve"> pct</w:t>
      </w:r>
      <w:r w:rsidR="00BD0AD5" w:rsidRPr="00B578C4">
        <w:t>. hhv</w:t>
      </w:r>
      <w:r w:rsidR="00DB5940" w:rsidRPr="00B578C4">
        <w:t xml:space="preserve">. </w:t>
      </w:r>
      <w:bookmarkEnd w:id="13"/>
      <w:r w:rsidR="00DB5940" w:rsidRPr="00B578C4">
        <w:t>I bilag 3 er kommunernes budgetoverholdelse mht. serviceudgifter for 2016 og 2017 vist.</w:t>
      </w:r>
      <w:r w:rsidR="006107B9" w:rsidRPr="00B578C4">
        <w:t xml:space="preserve"> Hvis man akkumu</w:t>
      </w:r>
      <w:r w:rsidR="002C0413" w:rsidRPr="00B578C4">
        <w:t>lerer de overskredne kommuners</w:t>
      </w:r>
      <w:r w:rsidR="006107B9" w:rsidRPr="00B578C4">
        <w:t xml:space="preserve"> </w:t>
      </w:r>
      <w:r w:rsidR="00BD0AD5" w:rsidRPr="00B578C4">
        <w:t>underskud,</w:t>
      </w:r>
      <w:r w:rsidR="006107B9" w:rsidRPr="00B578C4">
        <w:t xml:space="preserve"> viser det sig </w:t>
      </w:r>
      <w:r w:rsidR="00BD0AD5" w:rsidRPr="00B578C4">
        <w:t>ligeså</w:t>
      </w:r>
      <w:r w:rsidR="006107B9" w:rsidRPr="00B578C4">
        <w:t>, at staten har et betydeligt besparelsespotentiale for serviceudgiftern</w:t>
      </w:r>
      <w:r w:rsidR="005D3014" w:rsidRPr="00B578C4">
        <w:t>e. Hvis ingen kommuner overskrider</w:t>
      </w:r>
      <w:r w:rsidR="006107B9" w:rsidRPr="00B578C4">
        <w:t xml:space="preserve"> deres budget mht. serviceudgifter i 2017 ville der blive frigjort 738 mio. kr.</w:t>
      </w:r>
    </w:p>
    <w:p w:rsidR="00DB5940" w:rsidRPr="00B578C4" w:rsidRDefault="00DB5940" w:rsidP="005413B4">
      <w:r w:rsidRPr="00B578C4">
        <w:t xml:space="preserve">Det er også </w:t>
      </w:r>
      <w:r w:rsidR="002C0413" w:rsidRPr="00B578C4">
        <w:t>interessant</w:t>
      </w:r>
      <w:r w:rsidRPr="00B578C4">
        <w:t xml:space="preserve"> at undersøge</w:t>
      </w:r>
      <w:r w:rsidR="002C0413" w:rsidRPr="00B578C4">
        <w:t>,</w:t>
      </w:r>
      <w:r w:rsidRPr="00B578C4">
        <w:t xml:space="preserve"> om der findes geografiske elementer, som har betydning for budgetoverskridelser</w:t>
      </w:r>
      <w:r w:rsidR="002C0413" w:rsidRPr="00B578C4">
        <w:t>ne</w:t>
      </w:r>
      <w:r w:rsidRPr="00B578C4">
        <w:t xml:space="preserve"> i kom</w:t>
      </w:r>
      <w:r w:rsidR="002C0413" w:rsidRPr="00B578C4">
        <w:t>munerne. I figur 3 er det vist fire</w:t>
      </w:r>
      <w:r w:rsidRPr="00B578C4">
        <w:t xml:space="preserve"> danmarkskort, som viser hvilke kommuner</w:t>
      </w:r>
      <w:r w:rsidR="003D6709" w:rsidRPr="00B578C4">
        <w:t>,</w:t>
      </w:r>
      <w:r w:rsidRPr="00B578C4">
        <w:t xml:space="preserve"> </w:t>
      </w:r>
      <w:r w:rsidR="00BD0AD5" w:rsidRPr="00B578C4">
        <w:t>der</w:t>
      </w:r>
      <w:r w:rsidRPr="00B578C4">
        <w:t xml:space="preserve"> overskrider deres budget</w:t>
      </w:r>
      <w:r w:rsidR="00BD0AD5" w:rsidRPr="00B578C4">
        <w:t>ter</w:t>
      </w:r>
      <w:r w:rsidRPr="00B578C4">
        <w:t xml:space="preserve"> for nettodriftsudgifter og serviceudgifter. En farvet kommune indikerer, at den pågældende kommune</w:t>
      </w:r>
      <w:r w:rsidR="003D6709" w:rsidRPr="00B578C4">
        <w:t xml:space="preserve"> overskrider budgettet for</w:t>
      </w:r>
      <w:r w:rsidR="00BD0AD5" w:rsidRPr="00B578C4">
        <w:t xml:space="preserve"> </w:t>
      </w:r>
      <w:r w:rsidRPr="00B578C4">
        <w:t>år</w:t>
      </w:r>
      <w:r w:rsidR="003D6709" w:rsidRPr="00B578C4">
        <w:t>et</w:t>
      </w:r>
      <w:r w:rsidRPr="00B578C4">
        <w:t>. Der bemærkes to ting af figuren:</w:t>
      </w:r>
    </w:p>
    <w:p w:rsidR="00157C04" w:rsidRDefault="00DB5940" w:rsidP="005413B4">
      <w:r w:rsidRPr="00B578C4">
        <w:t xml:space="preserve">Først og fremmest er der en tendens til </w:t>
      </w:r>
      <w:proofErr w:type="spellStart"/>
      <w:r w:rsidRPr="00B578C4">
        <w:t>persistens</w:t>
      </w:r>
      <w:proofErr w:type="spellEnd"/>
      <w:r w:rsidRPr="00B578C4">
        <w:t xml:space="preserve"> i</w:t>
      </w:r>
      <w:r w:rsidR="00BD0AD5" w:rsidRPr="00B578C4">
        <w:t>ft.</w:t>
      </w:r>
      <w:r w:rsidRPr="00B578C4">
        <w:t xml:space="preserve"> hvilke kommuner, som overskrider deres budget</w:t>
      </w:r>
      <w:r w:rsidR="00BD0AD5" w:rsidRPr="00B578C4">
        <w:t>ter</w:t>
      </w:r>
      <w:r w:rsidRPr="00B578C4">
        <w:t xml:space="preserve">. </w:t>
      </w:r>
      <w:r w:rsidR="00617A7E" w:rsidRPr="00B578C4">
        <w:t xml:space="preserve">Dette gælder </w:t>
      </w:r>
      <w:r w:rsidR="00BD0AD5" w:rsidRPr="00B578C4">
        <w:t>især</w:t>
      </w:r>
      <w:r w:rsidR="00617A7E" w:rsidRPr="00B578C4">
        <w:t xml:space="preserve"> for de budgetterede serviceudgifter. For </w:t>
      </w:r>
      <w:r w:rsidR="00BD0AD5" w:rsidRPr="00B578C4">
        <w:t>de 25 kommuner</w:t>
      </w:r>
      <w:r w:rsidRPr="00B578C4">
        <w:t xml:space="preserve"> som overskrider deres budget</w:t>
      </w:r>
      <w:r w:rsidR="00617A7E" w:rsidRPr="00B578C4">
        <w:t xml:space="preserve"> for serviceudgifterne i 2016</w:t>
      </w:r>
      <w:r w:rsidR="00BD0AD5" w:rsidRPr="00B578C4">
        <w:t>,</w:t>
      </w:r>
      <w:r w:rsidR="00617A7E" w:rsidRPr="00B578C4">
        <w:t xml:space="preserve"> er der 17 af dem, som også overskrider i 2017. Dette er en ganske betydelig andel og indikerer, at problemerne med budgetoverholdelse </w:t>
      </w:r>
      <w:r w:rsidR="00617A7E" w:rsidRPr="00B578C4">
        <w:lastRenderedPageBreak/>
        <w:t>sandsynligvis skyldes strukturelle problemer i kommunerne</w:t>
      </w:r>
      <w:r w:rsidR="002D4E59" w:rsidRPr="00B578C4">
        <w:t>s økonomiføring</w:t>
      </w:r>
      <w:r w:rsidR="00617A7E" w:rsidRPr="00B578C4">
        <w:t xml:space="preserve">. Derudover </w:t>
      </w:r>
      <w:r w:rsidR="009E1BF5">
        <w:t>forekommer</w:t>
      </w:r>
      <w:r w:rsidR="00617A7E" w:rsidRPr="00B578C4">
        <w:t xml:space="preserve"> det, at de kommuner som overskrider deres budgetter både for nettodriftsudgifter og serviceudgifter</w:t>
      </w:r>
      <w:r w:rsidR="00C46055">
        <w:t>,</w:t>
      </w:r>
      <w:r w:rsidR="00617A7E" w:rsidRPr="00B578C4">
        <w:t xml:space="preserve"> overvejende kan karakteriseres som </w:t>
      </w:r>
      <w:r w:rsidR="00C46055">
        <w:t xml:space="preserve">mere eller mindre </w:t>
      </w:r>
      <w:r w:rsidR="00617A7E" w:rsidRPr="00B578C4">
        <w:t>socialt</w:t>
      </w:r>
      <w:r w:rsidR="007B3C87" w:rsidRPr="00B578C4">
        <w:t>-</w:t>
      </w:r>
      <w:r w:rsidR="00617A7E" w:rsidRPr="00B578C4">
        <w:t xml:space="preserve"> og økonomisk belaste</w:t>
      </w:r>
      <w:r w:rsidR="003D6709" w:rsidRPr="00B578C4">
        <w:t xml:space="preserve">rede kommuner. </w:t>
      </w:r>
      <w:r w:rsidR="00617A7E" w:rsidRPr="00B578C4">
        <w:t xml:space="preserve">Disse kommunerne har ofte høje udgiftsniveauer pga. </w:t>
      </w:r>
      <w:r w:rsidR="00824209" w:rsidRPr="00B578C4">
        <w:t xml:space="preserve">den </w:t>
      </w:r>
      <w:r w:rsidR="00617A7E" w:rsidRPr="00B578C4">
        <w:t>socioøkonomiske befolkningssammensætning</w:t>
      </w:r>
      <w:r w:rsidR="002C0413">
        <w:t xml:space="preserve">, </w:t>
      </w:r>
      <w:r w:rsidR="002C0413" w:rsidRPr="00B578C4">
        <w:t>men også høje serviceniveauer</w:t>
      </w:r>
      <w:r w:rsidR="00617A7E" w:rsidRPr="00B578C4">
        <w:t xml:space="preserve"> defineret ved høje udgiftsniveauer ift. udgiftsbehov. </w:t>
      </w:r>
    </w:p>
    <w:p w:rsidR="00157C04" w:rsidRDefault="00157C04" w:rsidP="00157C04">
      <w:r>
        <w:br w:type="page"/>
      </w:r>
    </w:p>
    <w:tbl>
      <w:tblPr>
        <w:tblW w:w="9740" w:type="dxa"/>
        <w:tblInd w:w="65" w:type="dxa"/>
        <w:tblCellMar>
          <w:left w:w="70" w:type="dxa"/>
          <w:right w:w="70" w:type="dxa"/>
        </w:tblCellMar>
        <w:tblLook w:val="04A0" w:firstRow="1" w:lastRow="0" w:firstColumn="1" w:lastColumn="0" w:noHBand="0" w:noVBand="1"/>
      </w:tblPr>
      <w:tblGrid>
        <w:gridCol w:w="1047"/>
        <w:gridCol w:w="837"/>
        <w:gridCol w:w="835"/>
        <w:gridCol w:w="835"/>
        <w:gridCol w:w="1167"/>
        <w:gridCol w:w="316"/>
        <w:gridCol w:w="1014"/>
        <w:gridCol w:w="835"/>
        <w:gridCol w:w="835"/>
        <w:gridCol w:w="835"/>
        <w:gridCol w:w="835"/>
        <w:gridCol w:w="349"/>
      </w:tblGrid>
      <w:tr w:rsidR="005413B4" w:rsidRPr="00E17BFA" w:rsidTr="005413B4">
        <w:trPr>
          <w:trHeight w:val="365"/>
        </w:trPr>
        <w:tc>
          <w:tcPr>
            <w:tcW w:w="9740" w:type="dxa"/>
            <w:gridSpan w:val="12"/>
            <w:tcBorders>
              <w:top w:val="single" w:sz="4" w:space="0" w:color="auto"/>
              <w:left w:val="single" w:sz="4" w:space="0" w:color="auto"/>
              <w:right w:val="single" w:sz="4" w:space="0" w:color="auto"/>
            </w:tcBorders>
            <w:shd w:val="clear" w:color="000000" w:fill="003865"/>
            <w:vAlign w:val="center"/>
            <w:hideMark/>
          </w:tcPr>
          <w:p w:rsidR="005413B4" w:rsidRPr="00E17BFA" w:rsidRDefault="005413B4" w:rsidP="00E17BFA">
            <w:pPr>
              <w:spacing w:after="0" w:line="240" w:lineRule="auto"/>
              <w:rPr>
                <w:rFonts w:eastAsia="Times New Roman" w:cs="Calibri"/>
                <w:color w:val="FFFFFF"/>
                <w:lang w:eastAsia="da-DK"/>
              </w:rPr>
            </w:pPr>
            <w:r>
              <w:lastRenderedPageBreak/>
              <w:t xml:space="preserve">Figur </w:t>
            </w:r>
            <w:r w:rsidR="007A755D">
              <w:fldChar w:fldCharType="begin"/>
            </w:r>
            <w:r w:rsidR="007A755D">
              <w:instrText xml:space="preserve"> SEQ Figur \* ARABIC </w:instrText>
            </w:r>
            <w:r w:rsidR="007A755D">
              <w:fldChar w:fldCharType="separate"/>
            </w:r>
            <w:r w:rsidR="00470072">
              <w:rPr>
                <w:noProof/>
              </w:rPr>
              <w:t>3</w:t>
            </w:r>
            <w:r w:rsidR="007A755D">
              <w:rPr>
                <w:noProof/>
              </w:rPr>
              <w:fldChar w:fldCharType="end"/>
            </w:r>
            <w:r>
              <w:t xml:space="preserve">. </w:t>
            </w:r>
            <w:r w:rsidRPr="00E17BFA">
              <w:rPr>
                <w:rFonts w:eastAsia="Times New Roman" w:cs="Calibri"/>
                <w:color w:val="FFFFFF"/>
                <w:lang w:eastAsia="da-DK"/>
              </w:rPr>
              <w:t>Danmarkskort over de kommunale budgetoverskridelser i 2016 og 2017</w:t>
            </w:r>
          </w:p>
        </w:tc>
      </w:tr>
      <w:tr w:rsidR="00E17BFA" w:rsidRPr="00E17BFA" w:rsidTr="005413B4">
        <w:trPr>
          <w:trHeight w:val="533"/>
        </w:trPr>
        <w:tc>
          <w:tcPr>
            <w:tcW w:w="4721" w:type="dxa"/>
            <w:gridSpan w:val="5"/>
            <w:tcBorders>
              <w:top w:val="nil"/>
              <w:left w:val="single" w:sz="4" w:space="0" w:color="auto"/>
              <w:bottom w:val="nil"/>
              <w:right w:val="nil"/>
            </w:tcBorders>
            <w:shd w:val="clear" w:color="000000" w:fill="FFFFFF"/>
            <w:vAlign w:val="center"/>
            <w:hideMark/>
          </w:tcPr>
          <w:p w:rsidR="00E17BFA" w:rsidRPr="00E17BFA" w:rsidRDefault="00E17BFA" w:rsidP="00E17BFA">
            <w:pPr>
              <w:spacing w:after="0" w:line="240" w:lineRule="auto"/>
              <w:jc w:val="center"/>
              <w:rPr>
                <w:rFonts w:eastAsia="Times New Roman" w:cs="Calibri"/>
                <w:color w:val="000000"/>
                <w:sz w:val="18"/>
                <w:szCs w:val="18"/>
                <w:lang w:eastAsia="da-DK"/>
              </w:rPr>
            </w:pPr>
            <w:r w:rsidRPr="00E17BFA">
              <w:rPr>
                <w:rFonts w:eastAsia="Times New Roman" w:cs="Calibri"/>
                <w:color w:val="000000"/>
                <w:sz w:val="18"/>
                <w:szCs w:val="18"/>
                <w:lang w:eastAsia="da-DK"/>
              </w:rPr>
              <w:t>Kommuner som overskrider de budgetterede nettodriftsudgifter</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4703" w:type="dxa"/>
            <w:gridSpan w:val="6"/>
            <w:tcBorders>
              <w:top w:val="nil"/>
              <w:left w:val="nil"/>
              <w:bottom w:val="nil"/>
              <w:right w:val="single" w:sz="4" w:space="0" w:color="auto"/>
            </w:tcBorders>
            <w:shd w:val="clear" w:color="000000" w:fill="FFFFFF"/>
            <w:vAlign w:val="center"/>
            <w:hideMark/>
          </w:tcPr>
          <w:p w:rsidR="00E17BFA" w:rsidRPr="00E17BFA" w:rsidRDefault="00E17BFA" w:rsidP="00E17BFA">
            <w:pPr>
              <w:spacing w:after="0" w:line="240" w:lineRule="auto"/>
              <w:jc w:val="center"/>
              <w:rPr>
                <w:rFonts w:eastAsia="Times New Roman" w:cs="Calibri"/>
                <w:color w:val="000000"/>
                <w:sz w:val="18"/>
                <w:szCs w:val="18"/>
                <w:lang w:eastAsia="da-DK"/>
              </w:rPr>
            </w:pPr>
            <w:r w:rsidRPr="00E17BFA">
              <w:rPr>
                <w:rFonts w:eastAsia="Times New Roman" w:cs="Calibri"/>
                <w:color w:val="000000"/>
                <w:sz w:val="18"/>
                <w:szCs w:val="18"/>
                <w:lang w:eastAsia="da-DK"/>
              </w:rPr>
              <w:t>Kommuner som overskrider de budgetterede serviceudgifter</w:t>
            </w:r>
          </w:p>
        </w:tc>
      </w:tr>
      <w:tr w:rsidR="00E17BFA" w:rsidRPr="00E17BFA" w:rsidTr="005413B4">
        <w:trPr>
          <w:trHeight w:val="194"/>
        </w:trPr>
        <w:tc>
          <w:tcPr>
            <w:tcW w:w="1047" w:type="dxa"/>
            <w:tcBorders>
              <w:top w:val="nil"/>
              <w:left w:val="single" w:sz="4" w:space="0" w:color="auto"/>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vAlign w:val="center"/>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4721" w:type="dxa"/>
            <w:gridSpan w:val="5"/>
            <w:tcBorders>
              <w:top w:val="nil"/>
              <w:left w:val="single" w:sz="4" w:space="0" w:color="auto"/>
              <w:bottom w:val="nil"/>
              <w:right w:val="nil"/>
            </w:tcBorders>
            <w:shd w:val="clear" w:color="000000" w:fill="FFFFFF"/>
            <w:noWrap/>
            <w:vAlign w:val="center"/>
            <w:hideMark/>
          </w:tcPr>
          <w:p w:rsidR="00E17BFA" w:rsidRPr="00E17BFA" w:rsidRDefault="00E17BFA" w:rsidP="00E17BFA">
            <w:pPr>
              <w:spacing w:after="0" w:line="240" w:lineRule="auto"/>
              <w:jc w:val="center"/>
              <w:rPr>
                <w:rFonts w:eastAsia="Times New Roman" w:cs="Calibri"/>
                <w:i/>
                <w:iCs/>
                <w:color w:val="000000"/>
                <w:sz w:val="18"/>
                <w:szCs w:val="18"/>
                <w:lang w:eastAsia="da-DK"/>
              </w:rPr>
            </w:pPr>
            <w:r w:rsidRPr="00E17BFA">
              <w:rPr>
                <w:rFonts w:eastAsia="Times New Roman" w:cs="Calibri"/>
                <w:i/>
                <w:iCs/>
                <w:color w:val="000000"/>
                <w:sz w:val="18"/>
                <w:szCs w:val="18"/>
                <w:lang w:eastAsia="da-DK"/>
              </w:rPr>
              <w:t>2016</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4703" w:type="dxa"/>
            <w:gridSpan w:val="6"/>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jc w:val="center"/>
              <w:rPr>
                <w:rFonts w:eastAsia="Times New Roman" w:cs="Calibri"/>
                <w:i/>
                <w:iCs/>
                <w:color w:val="000000"/>
                <w:sz w:val="18"/>
                <w:szCs w:val="18"/>
                <w:lang w:eastAsia="da-DK"/>
              </w:rPr>
            </w:pPr>
            <w:r w:rsidRPr="00E17BFA">
              <w:rPr>
                <w:rFonts w:eastAsia="Times New Roman" w:cs="Calibri"/>
                <w:i/>
                <w:iCs/>
                <w:color w:val="000000"/>
                <w:sz w:val="18"/>
                <w:szCs w:val="18"/>
                <w:lang w:eastAsia="da-DK"/>
              </w:rPr>
              <w:t>2016</w:t>
            </w:r>
          </w:p>
        </w:tc>
      </w:tr>
      <w:tr w:rsidR="00E17BFA" w:rsidRPr="00E17BFA" w:rsidTr="005413B4">
        <w:trPr>
          <w:trHeight w:val="242"/>
        </w:trPr>
        <w:tc>
          <w:tcPr>
            <w:tcW w:w="1047" w:type="dxa"/>
            <w:tcBorders>
              <w:top w:val="nil"/>
              <w:left w:val="single" w:sz="4" w:space="0" w:color="auto"/>
              <w:bottom w:val="nil"/>
              <w:right w:val="nil"/>
            </w:tcBorders>
            <w:shd w:val="clear" w:color="auto" w:fill="auto"/>
            <w:noWrap/>
            <w:vAlign w:val="bottom"/>
            <w:hideMark/>
          </w:tcPr>
          <w:p w:rsidR="00E17BFA" w:rsidRPr="00E17BFA" w:rsidRDefault="00E17BFA" w:rsidP="00E17BFA">
            <w:pPr>
              <w:spacing w:after="0" w:line="240" w:lineRule="auto"/>
              <w:rPr>
                <w:rFonts w:ascii="Calibri" w:eastAsia="Times New Roman" w:hAnsi="Calibri" w:cs="Calibri"/>
                <w:color w:val="000000"/>
                <w:lang w:eastAsia="da-DK"/>
              </w:rPr>
            </w:pPr>
          </w:p>
          <w:p w:rsidR="00E17BFA" w:rsidRPr="00E17BFA" w:rsidRDefault="00E17BFA" w:rsidP="00E17BFA">
            <w:pPr>
              <w:spacing w:after="0" w:line="240" w:lineRule="auto"/>
              <w:rPr>
                <w:rFonts w:ascii="Calibri" w:eastAsia="Times New Roman" w:hAnsi="Calibri" w:cs="Calibri"/>
                <w:color w:val="000000"/>
                <w:lang w:eastAsia="da-DK"/>
              </w:rPr>
            </w:pP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auto" w:fill="auto"/>
            <w:noWrap/>
            <w:vAlign w:val="bottom"/>
            <w:hideMark/>
          </w:tcPr>
          <w:p w:rsidR="00E17BFA" w:rsidRPr="00E17BFA" w:rsidRDefault="00E17BFA" w:rsidP="00E17BFA">
            <w:pPr>
              <w:spacing w:after="0" w:line="240" w:lineRule="auto"/>
              <w:rPr>
                <w:rFonts w:ascii="Calibri" w:eastAsia="Times New Roman" w:hAnsi="Calibri" w:cs="Calibri"/>
                <w:color w:val="000000"/>
                <w:lang w:eastAsia="da-DK"/>
              </w:rPr>
            </w:pPr>
            <w:r>
              <w:rPr>
                <w:rFonts w:ascii="Calibri" w:eastAsia="Times New Roman" w:hAnsi="Calibri" w:cs="Calibri"/>
                <w:noProof/>
                <w:color w:val="000000"/>
                <w:lang w:eastAsia="da-DK"/>
              </w:rPr>
              <w:drawing>
                <wp:anchor distT="0" distB="0" distL="114300" distR="114300" simplePos="0" relativeHeight="251666432" behindDoc="0" locked="0" layoutInCell="1" allowOverlap="1" wp14:anchorId="5DEFB30C" wp14:editId="4FB4AB2D">
                  <wp:simplePos x="0" y="0"/>
                  <wp:positionH relativeFrom="column">
                    <wp:posOffset>15875</wp:posOffset>
                  </wp:positionH>
                  <wp:positionV relativeFrom="paragraph">
                    <wp:posOffset>2860040</wp:posOffset>
                  </wp:positionV>
                  <wp:extent cx="2804795" cy="2444750"/>
                  <wp:effectExtent l="0" t="0" r="0" b="0"/>
                  <wp:wrapNone/>
                  <wp:docPr id="32" name="Billede 32"/>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rotWithShape="1">
                          <a:blip r:embed="rId11">
                            <a:extLst>
                              <a:ext uri="{28A0092B-C50C-407E-A947-70E740481C1C}">
                                <a14:useLocalDpi xmlns:a14="http://schemas.microsoft.com/office/drawing/2010/main" val="0"/>
                              </a:ext>
                            </a:extLst>
                          </a:blip>
                          <a:srcRect t="4228" b="4228"/>
                          <a:stretch/>
                        </pic:blipFill>
                        <pic:spPr>
                          <a:xfrm>
                            <a:off x="0" y="0"/>
                            <a:ext cx="2804795" cy="24447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da-DK"/>
              </w:rPr>
              <w:drawing>
                <wp:anchor distT="0" distB="0" distL="114300" distR="114300" simplePos="0" relativeHeight="251664384" behindDoc="0" locked="0" layoutInCell="1" allowOverlap="1" wp14:anchorId="6117B2B0" wp14:editId="652F05DE">
                  <wp:simplePos x="0" y="0"/>
                  <wp:positionH relativeFrom="column">
                    <wp:posOffset>-3117850</wp:posOffset>
                  </wp:positionH>
                  <wp:positionV relativeFrom="paragraph">
                    <wp:posOffset>2860040</wp:posOffset>
                  </wp:positionV>
                  <wp:extent cx="2804160" cy="2444750"/>
                  <wp:effectExtent l="0" t="0" r="0" b="0"/>
                  <wp:wrapNone/>
                  <wp:docPr id="33" name="Billede 33"/>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pic:cNvPicPr>
                        </pic:nvPicPr>
                        <pic:blipFill rotWithShape="1">
                          <a:blip r:embed="rId12">
                            <a:extLst>
                              <a:ext uri="{28A0092B-C50C-407E-A947-70E740481C1C}">
                                <a14:useLocalDpi xmlns:a14="http://schemas.microsoft.com/office/drawing/2010/main" val="0"/>
                              </a:ext>
                            </a:extLst>
                          </a:blip>
                          <a:srcRect t="4965" b="5037"/>
                          <a:stretch/>
                        </pic:blipFill>
                        <pic:spPr>
                          <a:xfrm>
                            <a:off x="0" y="0"/>
                            <a:ext cx="2804160" cy="24447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da-DK"/>
              </w:rPr>
              <w:drawing>
                <wp:anchor distT="0" distB="0" distL="114300" distR="114300" simplePos="0" relativeHeight="251663360" behindDoc="0" locked="0" layoutInCell="1" allowOverlap="1" wp14:anchorId="5801001F" wp14:editId="396E835F">
                  <wp:simplePos x="0" y="0"/>
                  <wp:positionH relativeFrom="column">
                    <wp:posOffset>-3117850</wp:posOffset>
                  </wp:positionH>
                  <wp:positionV relativeFrom="paragraph">
                    <wp:posOffset>-6350</wp:posOffset>
                  </wp:positionV>
                  <wp:extent cx="2803525" cy="2435860"/>
                  <wp:effectExtent l="0" t="0" r="0" b="2540"/>
                  <wp:wrapNone/>
                  <wp:docPr id="35" name="Billede 35"/>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rotWithShape="1">
                          <a:blip r:embed="rId13">
                            <a:extLst>
                              <a:ext uri="{28A0092B-C50C-407E-A947-70E740481C1C}">
                                <a14:useLocalDpi xmlns:a14="http://schemas.microsoft.com/office/drawing/2010/main" val="0"/>
                              </a:ext>
                            </a:extLst>
                          </a:blip>
                          <a:srcRect r="2273"/>
                          <a:stretch/>
                        </pic:blipFill>
                        <pic:spPr>
                          <a:xfrm>
                            <a:off x="0" y="0"/>
                            <a:ext cx="2803525" cy="243586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da-DK"/>
              </w:rPr>
              <w:drawing>
                <wp:anchor distT="0" distB="0" distL="114300" distR="114300" simplePos="0" relativeHeight="251665408" behindDoc="0" locked="0" layoutInCell="1" allowOverlap="1" wp14:anchorId="5FB2B2BE" wp14:editId="65801E0E">
                  <wp:simplePos x="0" y="0"/>
                  <wp:positionH relativeFrom="column">
                    <wp:posOffset>15875</wp:posOffset>
                  </wp:positionH>
                  <wp:positionV relativeFrom="paragraph">
                    <wp:posOffset>-6350</wp:posOffset>
                  </wp:positionV>
                  <wp:extent cx="2803525" cy="2435860"/>
                  <wp:effectExtent l="0" t="0" r="0" b="2540"/>
                  <wp:wrapNone/>
                  <wp:docPr id="34" name="Billede 34"/>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rotWithShape="1">
                          <a:blip r:embed="rId14">
                            <a:extLst>
                              <a:ext uri="{28A0092B-C50C-407E-A947-70E740481C1C}">
                                <a14:useLocalDpi xmlns:a14="http://schemas.microsoft.com/office/drawing/2010/main" val="0"/>
                              </a:ext>
                            </a:extLst>
                          </a:blip>
                          <a:srcRect t="4390" b="4423"/>
                          <a:stretch/>
                        </pic:blipFill>
                        <pic:spPr>
                          <a:xfrm>
                            <a:off x="0" y="0"/>
                            <a:ext cx="2803525" cy="2435860"/>
                          </a:xfrm>
                          <a:prstGeom prst="rect">
                            <a:avLst/>
                          </a:prstGeom>
                          <a:ln>
                            <a:noFill/>
                          </a:ln>
                        </pic:spPr>
                      </pic:pic>
                    </a:graphicData>
                  </a:graphic>
                  <wp14:sizeRelH relativeFrom="page">
                    <wp14:pctWidth>0</wp14:pctWidth>
                  </wp14:sizeRelH>
                  <wp14:sizeRelV relativeFrom="page">
                    <wp14:pctHeight>0</wp14:pctHeight>
                  </wp14:sizeRelV>
                </wp:anchor>
              </w:drawing>
            </w:r>
          </w:p>
          <w:tbl>
            <w:tblPr>
              <w:tblW w:w="771" w:type="dxa"/>
              <w:tblCellSpacing w:w="0" w:type="dxa"/>
              <w:tblCellMar>
                <w:left w:w="0" w:type="dxa"/>
                <w:right w:w="0" w:type="dxa"/>
              </w:tblCellMar>
              <w:tblLook w:val="04A0" w:firstRow="1" w:lastRow="0" w:firstColumn="1" w:lastColumn="0" w:noHBand="0" w:noVBand="1"/>
            </w:tblPr>
            <w:tblGrid>
              <w:gridCol w:w="771"/>
            </w:tblGrid>
            <w:tr w:rsidR="00E17BFA" w:rsidRPr="00E17BFA" w:rsidTr="00E17BFA">
              <w:trPr>
                <w:trHeight w:val="242"/>
                <w:tblCellSpacing w:w="0" w:type="dxa"/>
              </w:trPr>
              <w:tc>
                <w:tcPr>
                  <w:tcW w:w="771"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bl>
          <w:p w:rsidR="00E17BFA" w:rsidRPr="00E17BFA" w:rsidRDefault="00E17BFA" w:rsidP="00E17BFA">
            <w:pPr>
              <w:spacing w:after="0" w:line="240" w:lineRule="auto"/>
              <w:rPr>
                <w:rFonts w:ascii="Calibri" w:eastAsia="Times New Roman" w:hAnsi="Calibri" w:cs="Calibri"/>
                <w:color w:val="000000"/>
                <w:lang w:eastAsia="da-DK"/>
              </w:rPr>
            </w:pP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r w:rsidR="00087945">
              <w:rPr>
                <w:rFonts w:eastAsia="Times New Roman" w:cs="Calibri"/>
                <w:color w:val="000000"/>
                <w:lang w:eastAsia="da-DK"/>
              </w:rPr>
              <w:t>b</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4721" w:type="dxa"/>
            <w:gridSpan w:val="5"/>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jc w:val="center"/>
              <w:rPr>
                <w:rFonts w:eastAsia="Times New Roman" w:cs="Calibri"/>
                <w:i/>
                <w:iCs/>
                <w:color w:val="000000"/>
                <w:sz w:val="18"/>
                <w:szCs w:val="18"/>
                <w:lang w:eastAsia="da-DK"/>
              </w:rPr>
            </w:pPr>
            <w:r w:rsidRPr="00E17BFA">
              <w:rPr>
                <w:rFonts w:eastAsia="Times New Roman" w:cs="Calibri"/>
                <w:i/>
                <w:iCs/>
                <w:color w:val="000000"/>
                <w:sz w:val="18"/>
                <w:szCs w:val="18"/>
                <w:lang w:eastAsia="da-DK"/>
              </w:rPr>
              <w:t>2017</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4703" w:type="dxa"/>
            <w:gridSpan w:val="6"/>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jc w:val="center"/>
              <w:rPr>
                <w:rFonts w:eastAsia="Times New Roman" w:cs="Calibri"/>
                <w:i/>
                <w:iCs/>
                <w:color w:val="000000"/>
                <w:sz w:val="18"/>
                <w:szCs w:val="18"/>
                <w:lang w:eastAsia="da-DK"/>
              </w:rPr>
            </w:pPr>
            <w:r w:rsidRPr="00E17BFA">
              <w:rPr>
                <w:rFonts w:eastAsia="Times New Roman" w:cs="Calibri"/>
                <w:i/>
                <w:iCs/>
                <w:color w:val="000000"/>
                <w:sz w:val="18"/>
                <w:szCs w:val="18"/>
                <w:lang w:eastAsia="da-DK"/>
              </w:rPr>
              <w:t>2017</w:t>
            </w:r>
          </w:p>
        </w:tc>
      </w:tr>
      <w:tr w:rsidR="00E17BFA" w:rsidRPr="00E17BFA" w:rsidTr="005413B4">
        <w:trPr>
          <w:trHeight w:val="242"/>
        </w:trPr>
        <w:tc>
          <w:tcPr>
            <w:tcW w:w="1047" w:type="dxa"/>
            <w:tcBorders>
              <w:top w:val="nil"/>
              <w:left w:val="single" w:sz="4" w:space="0" w:color="auto"/>
              <w:bottom w:val="nil"/>
              <w:right w:val="nil"/>
            </w:tcBorders>
            <w:shd w:val="clear" w:color="auto" w:fill="auto"/>
            <w:noWrap/>
            <w:vAlign w:val="bottom"/>
            <w:hideMark/>
          </w:tcPr>
          <w:p w:rsidR="00E17BFA" w:rsidRPr="00E17BFA" w:rsidRDefault="00E17BFA" w:rsidP="00E17BFA">
            <w:pPr>
              <w:spacing w:after="0" w:line="240" w:lineRule="auto"/>
              <w:rPr>
                <w:rFonts w:ascii="Calibri" w:eastAsia="Times New Roman" w:hAnsi="Calibri" w:cs="Calibri"/>
                <w:color w:val="000000"/>
                <w:lang w:eastAsia="da-DK"/>
              </w:rPr>
            </w:pPr>
          </w:p>
          <w:p w:rsidR="00E17BFA" w:rsidRPr="00E17BFA" w:rsidRDefault="00E17BFA" w:rsidP="00E17BFA">
            <w:pPr>
              <w:spacing w:after="0" w:line="240" w:lineRule="auto"/>
              <w:rPr>
                <w:rFonts w:ascii="Calibri" w:eastAsia="Times New Roman" w:hAnsi="Calibri" w:cs="Calibri"/>
                <w:color w:val="000000"/>
                <w:lang w:eastAsia="da-DK"/>
              </w:rPr>
            </w:pP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auto" w:fill="auto"/>
            <w:noWrap/>
            <w:vAlign w:val="bottom"/>
            <w:hideMark/>
          </w:tcPr>
          <w:p w:rsidR="00E17BFA" w:rsidRPr="00E17BFA" w:rsidRDefault="00E17BFA" w:rsidP="00E17BFA">
            <w:pPr>
              <w:spacing w:after="0" w:line="240" w:lineRule="auto"/>
              <w:rPr>
                <w:rFonts w:ascii="Calibri" w:eastAsia="Times New Roman" w:hAnsi="Calibri" w:cs="Calibri"/>
                <w:color w:val="000000"/>
                <w:lang w:eastAsia="da-DK"/>
              </w:rPr>
            </w:pPr>
          </w:p>
          <w:tbl>
            <w:tblPr>
              <w:tblW w:w="771" w:type="dxa"/>
              <w:tblCellSpacing w:w="0" w:type="dxa"/>
              <w:tblCellMar>
                <w:left w:w="0" w:type="dxa"/>
                <w:right w:w="0" w:type="dxa"/>
              </w:tblCellMar>
              <w:tblLook w:val="04A0" w:firstRow="1" w:lastRow="0" w:firstColumn="1" w:lastColumn="0" w:noHBand="0" w:noVBand="1"/>
            </w:tblPr>
            <w:tblGrid>
              <w:gridCol w:w="771"/>
            </w:tblGrid>
            <w:tr w:rsidR="00E17BFA" w:rsidRPr="00E17BFA" w:rsidTr="00E17BFA">
              <w:trPr>
                <w:trHeight w:val="242"/>
                <w:tblCellSpacing w:w="0" w:type="dxa"/>
              </w:trPr>
              <w:tc>
                <w:tcPr>
                  <w:tcW w:w="771"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bl>
          <w:p w:rsidR="00E17BFA" w:rsidRPr="00E17BFA" w:rsidRDefault="00E17BFA" w:rsidP="00E17BFA">
            <w:pPr>
              <w:spacing w:after="0" w:line="240" w:lineRule="auto"/>
              <w:rPr>
                <w:rFonts w:ascii="Calibri" w:eastAsia="Times New Roman" w:hAnsi="Calibri" w:cs="Calibri"/>
                <w:color w:val="000000"/>
                <w:lang w:eastAsia="da-DK"/>
              </w:rPr>
            </w:pP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42"/>
        </w:trPr>
        <w:tc>
          <w:tcPr>
            <w:tcW w:w="1047" w:type="dxa"/>
            <w:tcBorders>
              <w:top w:val="nil"/>
              <w:left w:val="single" w:sz="4" w:space="0" w:color="auto"/>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bottom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bottom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121"/>
        </w:trPr>
        <w:tc>
          <w:tcPr>
            <w:tcW w:w="1047" w:type="dxa"/>
            <w:tcBorders>
              <w:top w:val="nil"/>
              <w:left w:val="single" w:sz="4" w:space="0" w:color="auto"/>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7"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167"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16"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1014"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835" w:type="dxa"/>
            <w:tcBorders>
              <w:top w:val="nil"/>
              <w:left w:val="nil"/>
              <w:right w:val="nil"/>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c>
          <w:tcPr>
            <w:tcW w:w="349" w:type="dxa"/>
            <w:tcBorders>
              <w:top w:val="nil"/>
              <w:left w:val="nil"/>
              <w:right w:val="single" w:sz="4" w:space="0" w:color="auto"/>
            </w:tcBorders>
            <w:shd w:val="clear" w:color="000000" w:fill="FFFFFF"/>
            <w:noWrap/>
            <w:vAlign w:val="bottom"/>
            <w:hideMark/>
          </w:tcPr>
          <w:p w:rsidR="00E17BFA" w:rsidRPr="00E17BFA" w:rsidRDefault="00E17BFA" w:rsidP="00E17BFA">
            <w:pPr>
              <w:spacing w:after="0" w:line="240" w:lineRule="auto"/>
              <w:rPr>
                <w:rFonts w:eastAsia="Times New Roman" w:cs="Calibri"/>
                <w:color w:val="000000"/>
                <w:lang w:eastAsia="da-DK"/>
              </w:rPr>
            </w:pPr>
            <w:r w:rsidRPr="00E17BFA">
              <w:rPr>
                <w:rFonts w:eastAsia="Times New Roman" w:cs="Calibri"/>
                <w:color w:val="000000"/>
                <w:lang w:eastAsia="da-DK"/>
              </w:rPr>
              <w:t> </w:t>
            </w:r>
          </w:p>
        </w:tc>
      </w:tr>
      <w:tr w:rsidR="00E17BFA" w:rsidRPr="00E17BFA" w:rsidTr="005413B4">
        <w:trPr>
          <w:trHeight w:val="254"/>
        </w:trPr>
        <w:tc>
          <w:tcPr>
            <w:tcW w:w="9740" w:type="dxa"/>
            <w:gridSpan w:val="12"/>
            <w:tcBorders>
              <w:left w:val="single" w:sz="4" w:space="0" w:color="auto"/>
              <w:bottom w:val="single" w:sz="4" w:space="0" w:color="auto"/>
              <w:right w:val="single" w:sz="4" w:space="0" w:color="auto"/>
            </w:tcBorders>
            <w:shd w:val="clear" w:color="000000" w:fill="FFFFFF"/>
            <w:noWrap/>
            <w:vAlign w:val="center"/>
            <w:hideMark/>
          </w:tcPr>
          <w:p w:rsidR="00E17BFA" w:rsidRPr="00E17BFA" w:rsidRDefault="00E17BFA" w:rsidP="005413B4">
            <w:pPr>
              <w:pStyle w:val="Undertekstfigur"/>
              <w:rPr>
                <w:lang w:eastAsia="da-DK"/>
              </w:rPr>
            </w:pPr>
            <w:r w:rsidRPr="00E17BFA">
              <w:rPr>
                <w:lang w:eastAsia="da-DK"/>
              </w:rPr>
              <w:t>Anm: Kommuner som overskrider budgettet er farvet</w:t>
            </w:r>
            <w:r>
              <w:rPr>
                <w:lang w:eastAsia="da-DK"/>
              </w:rPr>
              <w:t>.</w:t>
            </w:r>
            <w:r w:rsidR="005413B4">
              <w:rPr>
                <w:lang w:eastAsia="da-DK"/>
              </w:rPr>
              <w:t xml:space="preserve"> </w:t>
            </w:r>
            <w:r w:rsidR="005413B4">
              <w:rPr>
                <w:lang w:eastAsia="da-DK"/>
              </w:rPr>
              <w:br/>
            </w:r>
            <w:r w:rsidR="005413B4" w:rsidRPr="005413B4">
              <w:rPr>
                <w:lang w:eastAsia="da-DK"/>
              </w:rPr>
              <w:t>Kilde: dst.dk</w:t>
            </w:r>
            <w:r w:rsidR="005413B4" w:rsidRPr="005413B4">
              <w:rPr>
                <w:lang w:eastAsia="da-DK"/>
              </w:rPr>
              <w:tab/>
            </w:r>
          </w:p>
        </w:tc>
      </w:tr>
    </w:tbl>
    <w:p w:rsidR="005413B4" w:rsidRDefault="005413B4" w:rsidP="005413B4">
      <w:r>
        <w:br/>
      </w:r>
      <w:r w:rsidR="00C96602" w:rsidRPr="00B578C4">
        <w:t>Disse mere umiddelbare analyser indikerer altså</w:t>
      </w:r>
      <w:r w:rsidR="003D6709" w:rsidRPr="00B578C4">
        <w:t>,</w:t>
      </w:r>
      <w:r w:rsidR="00C96602" w:rsidRPr="00B578C4">
        <w:t xml:space="preserve"> at</w:t>
      </w:r>
      <w:r w:rsidR="003D6709" w:rsidRPr="00B578C4">
        <w:t xml:space="preserve"> der findes </w:t>
      </w:r>
      <w:r w:rsidR="009E1BF5">
        <w:t>afgørende</w:t>
      </w:r>
      <w:r w:rsidR="003D6709" w:rsidRPr="00B578C4">
        <w:t xml:space="preserve"> forskelle </w:t>
      </w:r>
      <w:r w:rsidR="00C96602" w:rsidRPr="00B578C4">
        <w:t>i kommunernes budget</w:t>
      </w:r>
      <w:r w:rsidR="00824209" w:rsidRPr="00B578C4">
        <w:t>disciplin</w:t>
      </w:r>
      <w:r w:rsidR="00C96602" w:rsidRPr="00B578C4">
        <w:t xml:space="preserve">. Dette gælder både for nettodriftsudgifterne og serviceudgifterne. Formålet med </w:t>
      </w:r>
      <w:r w:rsidR="00C96602" w:rsidRPr="00B578C4">
        <w:lastRenderedPageBreak/>
        <w:t>dette papir er at søge forklaringer på disse forskelle. Derfor fortage</w:t>
      </w:r>
      <w:r w:rsidR="00824209" w:rsidRPr="00B578C4">
        <w:t>s der</w:t>
      </w:r>
      <w:r w:rsidR="00C96602" w:rsidRPr="00B578C4">
        <w:t xml:space="preserve"> statistiske analyse</w:t>
      </w:r>
      <w:r w:rsidR="003D6709" w:rsidRPr="00B578C4">
        <w:t>r</w:t>
      </w:r>
      <w:r w:rsidR="00C96602" w:rsidRPr="00B578C4">
        <w:t xml:space="preserve"> både gennemført på nettodriftsudgifter</w:t>
      </w:r>
      <w:r w:rsidR="00824209" w:rsidRPr="00B578C4">
        <w:t>ne</w:t>
      </w:r>
      <w:r w:rsidR="00124C56" w:rsidRPr="00B578C4">
        <w:t xml:space="preserve"> (</w:t>
      </w:r>
      <w:r w:rsidR="003D6709" w:rsidRPr="00B578C4">
        <w:t>F</w:t>
      </w:r>
      <w:r w:rsidR="00124C56" w:rsidRPr="00B578C4">
        <w:t>igur 5</w:t>
      </w:r>
      <w:r w:rsidR="00C96602" w:rsidRPr="00B578C4">
        <w:t xml:space="preserve">) og serviceudgifterne </w:t>
      </w:r>
      <w:r w:rsidR="00124C56" w:rsidRPr="00B578C4">
        <w:t>(</w:t>
      </w:r>
      <w:r w:rsidR="003D6709" w:rsidRPr="00B578C4">
        <w:t>F</w:t>
      </w:r>
      <w:r w:rsidR="00124C56" w:rsidRPr="00B578C4">
        <w:t>igur 6</w:t>
      </w:r>
      <w:r w:rsidR="00C96602" w:rsidRPr="00B578C4">
        <w:t>).</w:t>
      </w:r>
      <w:bookmarkStart w:id="14" w:name="_Hlk527111857"/>
    </w:p>
    <w:p w:rsidR="005413B4" w:rsidRDefault="005413B4" w:rsidP="005413B4">
      <w:r>
        <w:br w:type="page"/>
      </w:r>
    </w:p>
    <w:p w:rsidR="005413B4" w:rsidRDefault="005413B4" w:rsidP="005413B4">
      <w:pPr>
        <w:pStyle w:val="Overskrift1"/>
      </w:pPr>
      <w:bookmarkStart w:id="15" w:name="_Toc532903352"/>
      <w:bookmarkStart w:id="16" w:name="_Toc532903585"/>
      <w:r w:rsidRPr="005413B4">
        <w:lastRenderedPageBreak/>
        <w:t>Mulige forklaringer på budgetoverskridelser</w:t>
      </w:r>
      <w:bookmarkEnd w:id="15"/>
      <w:bookmarkEnd w:id="16"/>
    </w:p>
    <w:bookmarkEnd w:id="14"/>
    <w:p w:rsidR="00124C56" w:rsidRPr="00B578C4" w:rsidRDefault="005413B4" w:rsidP="005413B4">
      <w:r>
        <w:br/>
      </w:r>
      <w:r w:rsidR="00124C56" w:rsidRPr="00B578C4">
        <w:t>Der eksistere</w:t>
      </w:r>
      <w:r w:rsidR="002C0413" w:rsidRPr="00B578C4">
        <w:t>r</w:t>
      </w:r>
      <w:r w:rsidR="00124C56" w:rsidRPr="00B578C4">
        <w:t xml:space="preserve"> adskillige</w:t>
      </w:r>
      <w:r w:rsidR="002C0413" w:rsidRPr="00B578C4">
        <w:t xml:space="preserve"> mulige</w:t>
      </w:r>
      <w:r w:rsidR="00124C56" w:rsidRPr="00B578C4">
        <w:t xml:space="preserve"> forklaringer på</w:t>
      </w:r>
      <w:r w:rsidR="003D6709" w:rsidRPr="00B578C4">
        <w:t>,</w:t>
      </w:r>
      <w:r w:rsidR="00124C56" w:rsidRPr="00B578C4">
        <w:t xml:space="preserve"> hvad der påvirker</w:t>
      </w:r>
      <w:r w:rsidR="005D3014" w:rsidRPr="00B578C4">
        <w:t>,</w:t>
      </w:r>
      <w:r w:rsidR="00124C56" w:rsidRPr="00B578C4">
        <w:t xml:space="preserve"> om en kommune overholder sit budget. Variablene som bliver brugt i regressionsmodellerne skal tænkes som net </w:t>
      </w:r>
      <w:r w:rsidR="002C0413" w:rsidRPr="00B578C4">
        <w:t>af</w:t>
      </w:r>
      <w:r w:rsidR="00124C56" w:rsidRPr="00B578C4">
        <w:t xml:space="preserve"> </w:t>
      </w:r>
      <w:r w:rsidR="001D758C">
        <w:t xml:space="preserve">mulige </w:t>
      </w:r>
      <w:r w:rsidR="00124C56" w:rsidRPr="00B578C4">
        <w:t>væsentlige sammenhænge, som gør sig gældende. Derfor kan de mulige forklaringsmekanismer være indbyrdes afhængige, hvilket udgør statistiske problemer i regressionen. Dette problem er der så vidt muligt taget højde for ved at undlade</w:t>
      </w:r>
      <w:r w:rsidR="002C0413" w:rsidRPr="00B578C4">
        <w:t xml:space="preserve"> nogle</w:t>
      </w:r>
      <w:r w:rsidR="00124C56" w:rsidRPr="00B578C4">
        <w:t xml:space="preserve"> </w:t>
      </w:r>
      <w:r w:rsidR="002C0413" w:rsidRPr="00B578C4">
        <w:t>variable</w:t>
      </w:r>
      <w:r w:rsidR="00124C56" w:rsidRPr="00B578C4">
        <w:t>. I figur 4 er der opstillet fem hypoteser, hvor hver af hypoteserne er knyttet til en eller flere variable, som skal søge at forklare budgetoverskridelserne. Hypoteserne lyder som</w:t>
      </w:r>
      <w:r w:rsidR="003D6709" w:rsidRPr="00B578C4">
        <w:t xml:space="preserve"> følger</w:t>
      </w:r>
      <w:r w:rsidR="00124C56" w:rsidRPr="00B578C4">
        <w:t>:</w:t>
      </w:r>
    </w:p>
    <w:p w:rsidR="00124C56" w:rsidRPr="00B578C4" w:rsidRDefault="00124C56" w:rsidP="005413B4">
      <w:r w:rsidRPr="005413B4">
        <w:rPr>
          <w:b/>
        </w:rPr>
        <w:t>Hypo</w:t>
      </w:r>
      <w:r w:rsidR="00CE122D" w:rsidRPr="005413B4">
        <w:rPr>
          <w:b/>
        </w:rPr>
        <w:t>tese 1:</w:t>
      </w:r>
      <w:r w:rsidR="00CE122D" w:rsidRPr="00B578C4">
        <w:t xml:space="preserve"> Kommuner har svært ved at overholde deres budgetter pga. udgiftstunge strukturer</w:t>
      </w:r>
      <w:r w:rsidR="003D6709" w:rsidRPr="00B578C4">
        <w:t>,</w:t>
      </w:r>
      <w:r w:rsidR="00CE122D" w:rsidRPr="00B578C4">
        <w:t xml:space="preserve"> som</w:t>
      </w:r>
      <w:r w:rsidR="003D6709" w:rsidRPr="00B578C4">
        <w:t xml:space="preserve"> karakterisere</w:t>
      </w:r>
      <w:r w:rsidR="001D37AC">
        <w:t>r</w:t>
      </w:r>
      <w:r w:rsidR="003D6709" w:rsidRPr="00B578C4">
        <w:t xml:space="preserve"> kommunen. </w:t>
      </w:r>
      <w:r w:rsidR="001D37AC">
        <w:t>Sådanne strukturer</w:t>
      </w:r>
      <w:r w:rsidR="003D6709" w:rsidRPr="00B578C4">
        <w:t xml:space="preserve"> resulterer i, at</w:t>
      </w:r>
      <w:r w:rsidR="00CE122D" w:rsidRPr="00B578C4">
        <w:t xml:space="preserve"> </w:t>
      </w:r>
      <w:r w:rsidR="001D37AC">
        <w:t>disse kommuner</w:t>
      </w:r>
      <w:r w:rsidR="00CE122D" w:rsidRPr="00B578C4">
        <w:t xml:space="preserve"> kommer under et særligt pres på trods af, at de modtager relativt høje bloktilskud.</w:t>
      </w:r>
    </w:p>
    <w:p w:rsidR="00CE122D" w:rsidRPr="00B578C4" w:rsidRDefault="00CE122D" w:rsidP="005413B4">
      <w:r w:rsidRPr="005413B4">
        <w:rPr>
          <w:b/>
        </w:rPr>
        <w:t>Hypote</w:t>
      </w:r>
      <w:r w:rsidR="003D6709" w:rsidRPr="005413B4">
        <w:rPr>
          <w:b/>
        </w:rPr>
        <w:t>se 2:</w:t>
      </w:r>
      <w:r w:rsidR="003D6709" w:rsidRPr="00B578C4">
        <w:t xml:space="preserve"> Kommunerne</w:t>
      </w:r>
      <w:r w:rsidRPr="00B578C4">
        <w:t xml:space="preserve"> overskrider deres budgetter pga. af det politiske klima, som eksisterer i den respektive kommune. Derved er budgetdisciplinen et udtryk for den valgte politik eller den politiske struktur</w:t>
      </w:r>
      <w:r w:rsidR="003D6709" w:rsidRPr="00B578C4">
        <w:t>,</w:t>
      </w:r>
      <w:r w:rsidRPr="00B578C4">
        <w:t xml:space="preserve"> som findes i kommunen. </w:t>
      </w:r>
    </w:p>
    <w:p w:rsidR="00CE122D" w:rsidRPr="00B578C4" w:rsidRDefault="00CE122D" w:rsidP="005413B4">
      <w:r w:rsidRPr="005413B4">
        <w:rPr>
          <w:b/>
        </w:rPr>
        <w:t>Hypotese 3:</w:t>
      </w:r>
      <w:r w:rsidRPr="00B578C4">
        <w:t xml:space="preserve"> Kommunerne overskrider deres budgetter pga. </w:t>
      </w:r>
      <w:r w:rsidR="003D6709" w:rsidRPr="00B578C4">
        <w:t>udefrakommende</w:t>
      </w:r>
      <w:r w:rsidRPr="00B578C4">
        <w:t xml:space="preserve"> stød til lokaløkonomien. Derved har kommunerne </w:t>
      </w:r>
      <w:r w:rsidR="003D6709" w:rsidRPr="00B578C4">
        <w:t>egentligt</w:t>
      </w:r>
      <w:r w:rsidRPr="00B578C4">
        <w:t xml:space="preserve"> de bedste intentioner mht. budgetoverholdelse, men bliver slået ud af kurs af negative stød. Eksempelvis kunne dominerende virksomheder reducere arbejdsstyrken, hvilket vil resultere i en redu</w:t>
      </w:r>
      <w:r w:rsidR="004D1622" w:rsidRPr="00B578C4">
        <w:t>ktion</w:t>
      </w:r>
      <w:r w:rsidRPr="00B578C4">
        <w:t xml:space="preserve"> </w:t>
      </w:r>
      <w:r w:rsidR="004D1622" w:rsidRPr="00B578C4">
        <w:t>i efterspørgslen efter arbejdskraft og derved et</w:t>
      </w:r>
      <w:r w:rsidRPr="00B578C4">
        <w:t xml:space="preserve"> større udgiftspres</w:t>
      </w:r>
      <w:r w:rsidR="004D1622" w:rsidRPr="00B578C4">
        <w:t xml:space="preserve"> for kommunen</w:t>
      </w:r>
      <w:r w:rsidRPr="00B578C4">
        <w:t xml:space="preserve">. </w:t>
      </w:r>
    </w:p>
    <w:p w:rsidR="00CE122D" w:rsidRPr="00B578C4" w:rsidRDefault="00CE122D" w:rsidP="005413B4">
      <w:r w:rsidRPr="005413B4">
        <w:rPr>
          <w:b/>
        </w:rPr>
        <w:t>Hypotese 4:</w:t>
      </w:r>
      <w:r w:rsidRPr="00B578C4">
        <w:t xml:space="preserve"> Kommunerne kan variere på effektivitet og derved i hvor høj grad de kan overholde deres budgetter. Forskelle i effektivitet kan fremkomme, </w:t>
      </w:r>
      <w:r w:rsidR="004D1622" w:rsidRPr="00B578C4">
        <w:t>hvis</w:t>
      </w:r>
      <w:r w:rsidRPr="00B578C4">
        <w:t xml:space="preserve"> kommunerne </w:t>
      </w:r>
      <w:r w:rsidR="004D1622" w:rsidRPr="00B578C4">
        <w:t xml:space="preserve">er </w:t>
      </w:r>
      <w:r w:rsidRPr="00B578C4">
        <w:t>forskelligt</w:t>
      </w:r>
      <w:r w:rsidR="004D1622" w:rsidRPr="00B578C4">
        <w:t xml:space="preserve"> udrustet til opgaver pga. forv</w:t>
      </w:r>
      <w:r w:rsidRPr="00B578C4">
        <w:t>a</w:t>
      </w:r>
      <w:r w:rsidR="004D1622" w:rsidRPr="00B578C4">
        <w:t>l</w:t>
      </w:r>
      <w:r w:rsidRPr="00B578C4">
        <w:t xml:space="preserve">tningsmæssige strukturer. Eksempelvis kunne større kommuner </w:t>
      </w:r>
      <w:r w:rsidR="00493441" w:rsidRPr="00B578C4">
        <w:t>have mulighed for relativ mere forvaltningsmæssig professionalisering end mindre ko</w:t>
      </w:r>
      <w:r w:rsidR="004D1622" w:rsidRPr="00B578C4">
        <w:t>mmuner. Derved kan skala og professionalisering</w:t>
      </w:r>
      <w:r w:rsidR="00493441" w:rsidRPr="00B578C4">
        <w:t xml:space="preserve"> være en </w:t>
      </w:r>
      <w:r w:rsidR="004D1622" w:rsidRPr="00B578C4">
        <w:t>potentiel forklaring</w:t>
      </w:r>
      <w:r w:rsidR="00493441" w:rsidRPr="00B578C4">
        <w:t>.</w:t>
      </w:r>
    </w:p>
    <w:p w:rsidR="005413B4" w:rsidRDefault="00493441" w:rsidP="005413B4">
      <w:r w:rsidRPr="005413B4">
        <w:rPr>
          <w:b/>
        </w:rPr>
        <w:t>Hypotese 5:</w:t>
      </w:r>
      <w:r w:rsidRPr="00B578C4">
        <w:t xml:space="preserve"> B</w:t>
      </w:r>
      <w:r w:rsidR="004D1622" w:rsidRPr="00B578C4">
        <w:t>udget</w:t>
      </w:r>
      <w:r w:rsidR="00FE2F76" w:rsidRPr="00B578C4">
        <w:t>disciplinen i kommunerne</w:t>
      </w:r>
      <w:r w:rsidR="004D1622" w:rsidRPr="00B578C4">
        <w:t xml:space="preserve"> kan variere</w:t>
      </w:r>
      <w:r w:rsidRPr="00B578C4">
        <w:t xml:space="preserve"> pga. forskelle i </w:t>
      </w:r>
      <w:r w:rsidR="00FE2F76" w:rsidRPr="00B578C4">
        <w:t xml:space="preserve">den </w:t>
      </w:r>
      <w:r w:rsidRPr="00B578C4">
        <w:t>økonomisk</w:t>
      </w:r>
      <w:r w:rsidR="00FE2F76" w:rsidRPr="00B578C4">
        <w:t>e</w:t>
      </w:r>
      <w:r w:rsidRPr="00B578C4">
        <w:t xml:space="preserve"> dygtighed i kommunerne. Denne dygtighed</w:t>
      </w:r>
      <w:r w:rsidR="00B96FDE" w:rsidRPr="00B578C4">
        <w:t xml:space="preserve"> bunder ud i en økonomisk solidi</w:t>
      </w:r>
      <w:r w:rsidRPr="00B578C4">
        <w:t>tet i kommunerne, som kommer til udtryk ved udskrivningsprocent</w:t>
      </w:r>
      <w:r w:rsidR="004D1622" w:rsidRPr="00B578C4">
        <w:t>en</w:t>
      </w:r>
      <w:r w:rsidRPr="00B578C4">
        <w:t>, serviceniveau</w:t>
      </w:r>
      <w:r w:rsidR="004D1622" w:rsidRPr="00B578C4">
        <w:t>et</w:t>
      </w:r>
      <w:r w:rsidRPr="00B578C4">
        <w:t xml:space="preserve"> og hvorvidt kommunen kan overholde budget i det forhenværende år. Denne forklaring afhænger altså ikke af ydr</w:t>
      </w:r>
      <w:r w:rsidR="004D1622" w:rsidRPr="00B578C4">
        <w:t>e omstændigheder. Den</w:t>
      </w:r>
      <w:r w:rsidR="00B96FDE" w:rsidRPr="00B578C4">
        <w:t xml:space="preserve"> indebærer, at interne strukturelle aspekter er drivkraften for</w:t>
      </w:r>
      <w:r w:rsidR="004D1622" w:rsidRPr="00B578C4">
        <w:t>,</w:t>
      </w:r>
      <w:r w:rsidR="00B96FDE" w:rsidRPr="00B578C4">
        <w:t xml:space="preserve"> at </w:t>
      </w:r>
      <w:r w:rsidRPr="00B578C4">
        <w:t xml:space="preserve">kommunerne </w:t>
      </w:r>
      <w:r w:rsidR="004D1622" w:rsidRPr="00B578C4">
        <w:t>overskrider deres budgetter</w:t>
      </w:r>
      <w:r w:rsidR="0049657B" w:rsidRPr="00B578C4">
        <w:t>.</w:t>
      </w:r>
    </w:p>
    <w:p w:rsidR="005413B4" w:rsidRDefault="005413B4" w:rsidP="005413B4">
      <w:r>
        <w:br w:type="page"/>
      </w:r>
    </w:p>
    <w:tbl>
      <w:tblPr>
        <w:tblW w:w="9519" w:type="dxa"/>
        <w:tblInd w:w="55" w:type="dxa"/>
        <w:tblCellMar>
          <w:left w:w="70" w:type="dxa"/>
          <w:right w:w="70" w:type="dxa"/>
        </w:tblCellMar>
        <w:tblLook w:val="04A0" w:firstRow="1" w:lastRow="0" w:firstColumn="1" w:lastColumn="0" w:noHBand="0" w:noVBand="1"/>
      </w:tblPr>
      <w:tblGrid>
        <w:gridCol w:w="4240"/>
        <w:gridCol w:w="5279"/>
      </w:tblGrid>
      <w:tr w:rsidR="005413B4" w:rsidRPr="00CF0EBA" w:rsidTr="005413B4">
        <w:trPr>
          <w:trHeight w:val="506"/>
        </w:trPr>
        <w:tc>
          <w:tcPr>
            <w:tcW w:w="9519" w:type="dxa"/>
            <w:gridSpan w:val="2"/>
            <w:tcBorders>
              <w:top w:val="single" w:sz="4" w:space="0" w:color="auto"/>
              <w:left w:val="single" w:sz="4" w:space="0" w:color="auto"/>
              <w:right w:val="single" w:sz="4" w:space="0" w:color="000000"/>
            </w:tcBorders>
            <w:shd w:val="clear" w:color="000000" w:fill="003865"/>
            <w:vAlign w:val="center"/>
            <w:hideMark/>
          </w:tcPr>
          <w:p w:rsidR="005413B4" w:rsidRPr="00CF0EBA" w:rsidRDefault="005413B4" w:rsidP="00CF0EBA">
            <w:pPr>
              <w:spacing w:after="0" w:line="240" w:lineRule="auto"/>
              <w:rPr>
                <w:rFonts w:eastAsia="Times New Roman" w:cs="Calibri"/>
                <w:color w:val="FFFFFF"/>
                <w:lang w:eastAsia="da-DK"/>
              </w:rPr>
            </w:pPr>
            <w:r>
              <w:lastRenderedPageBreak/>
              <w:t xml:space="preserve">Figur </w:t>
            </w:r>
            <w:r w:rsidR="007A755D">
              <w:fldChar w:fldCharType="begin"/>
            </w:r>
            <w:r w:rsidR="007A755D">
              <w:instrText xml:space="preserve"> SEQ Figur \* ARABIC </w:instrText>
            </w:r>
            <w:r w:rsidR="007A755D">
              <w:fldChar w:fldCharType="separate"/>
            </w:r>
            <w:r w:rsidR="00470072">
              <w:rPr>
                <w:noProof/>
              </w:rPr>
              <w:t>4</w:t>
            </w:r>
            <w:r w:rsidR="007A755D">
              <w:rPr>
                <w:noProof/>
              </w:rPr>
              <w:fldChar w:fldCharType="end"/>
            </w:r>
            <w:r w:rsidRPr="00CF0EBA">
              <w:rPr>
                <w:rFonts w:eastAsia="Times New Roman" w:cs="Calibri"/>
                <w:color w:val="FFFFFF"/>
                <w:lang w:eastAsia="da-DK"/>
              </w:rPr>
              <w:t>. Oversigt over hypoteserne som faktorer bag kommunernes budgetoverskridelser og variablene som bruges til at analysere budgetoverskridelserne</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b/>
                <w:bCs/>
                <w:color w:val="000000"/>
                <w:sz w:val="20"/>
                <w:szCs w:val="20"/>
                <w:lang w:eastAsia="da-DK"/>
              </w:rPr>
            </w:pPr>
            <w:r w:rsidRPr="00CF0EBA">
              <w:rPr>
                <w:rFonts w:eastAsia="Times New Roman" w:cs="Calibri"/>
                <w:b/>
                <w:bCs/>
                <w:color w:val="000000"/>
                <w:sz w:val="20"/>
                <w:szCs w:val="20"/>
                <w:lang w:eastAsia="da-DK"/>
              </w:rPr>
              <w:t>Hypotese og variable</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b/>
                <w:bCs/>
                <w:color w:val="000000"/>
                <w:sz w:val="20"/>
                <w:szCs w:val="20"/>
                <w:lang w:eastAsia="da-DK"/>
              </w:rPr>
            </w:pPr>
            <w:r w:rsidRPr="00CF0EBA">
              <w:rPr>
                <w:rFonts w:eastAsia="Times New Roman" w:cs="Calibri"/>
                <w:b/>
                <w:bCs/>
                <w:color w:val="000000"/>
                <w:sz w:val="20"/>
                <w:szCs w:val="20"/>
                <w:lang w:eastAsia="da-DK"/>
              </w:rPr>
              <w:t>Variabelforklaring</w:t>
            </w:r>
          </w:p>
        </w:tc>
      </w:tr>
      <w:tr w:rsidR="00CF0EBA" w:rsidRPr="00CF0EBA" w:rsidTr="00E17BFA">
        <w:trPr>
          <w:trHeight w:val="1708"/>
        </w:trPr>
        <w:tc>
          <w:tcPr>
            <w:tcW w:w="4240" w:type="dxa"/>
            <w:tcBorders>
              <w:top w:val="nil"/>
              <w:left w:val="single" w:sz="4" w:space="0" w:color="auto"/>
              <w:bottom w:val="nil"/>
              <w:right w:val="nil"/>
            </w:tcBorders>
            <w:shd w:val="clear" w:color="000000" w:fill="FFFFFF"/>
            <w:noWrap/>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xml:space="preserve">Forklarende variable: Budgetoverskridelse </w:t>
            </w:r>
            <w:r w:rsidR="00FE2F76">
              <w:rPr>
                <w:rFonts w:eastAsia="Times New Roman" w:cs="Calibri"/>
                <w:color w:val="000000"/>
                <w:sz w:val="20"/>
                <w:szCs w:val="20"/>
                <w:lang w:eastAsia="da-DK"/>
              </w:rPr>
              <w:t xml:space="preserve">i </w:t>
            </w:r>
            <w:r w:rsidRPr="00CF0EBA">
              <w:rPr>
                <w:rFonts w:eastAsia="Times New Roman" w:cs="Calibri"/>
                <w:color w:val="000000"/>
                <w:sz w:val="20"/>
                <w:szCs w:val="20"/>
                <w:lang w:eastAsia="da-DK"/>
              </w:rPr>
              <w:t>2017</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xml:space="preserve">To variable bruges. En variabel som angiver den procentvise overskridelse for de budgetterede nettodriftsudgifter i 2017, og en dummyvariabel som angiver, hvorvidt de </w:t>
            </w:r>
            <w:proofErr w:type="gramStart"/>
            <w:r w:rsidR="00FE2F76">
              <w:rPr>
                <w:rFonts w:eastAsia="Times New Roman" w:cs="Calibri"/>
                <w:color w:val="000000"/>
                <w:sz w:val="20"/>
                <w:szCs w:val="20"/>
                <w:lang w:eastAsia="da-DK"/>
              </w:rPr>
              <w:t xml:space="preserve">faktiske  </w:t>
            </w:r>
            <w:r w:rsidRPr="00CF0EBA">
              <w:rPr>
                <w:rFonts w:eastAsia="Times New Roman" w:cs="Calibri"/>
                <w:color w:val="000000"/>
                <w:sz w:val="20"/>
                <w:szCs w:val="20"/>
                <w:lang w:eastAsia="da-DK"/>
              </w:rPr>
              <w:t>serviceudgifter</w:t>
            </w:r>
            <w:proofErr w:type="gramEnd"/>
            <w:r w:rsidRPr="00CF0EBA">
              <w:rPr>
                <w:rFonts w:eastAsia="Times New Roman" w:cs="Calibri"/>
                <w:color w:val="000000"/>
                <w:sz w:val="20"/>
                <w:szCs w:val="20"/>
                <w:lang w:eastAsia="da-DK"/>
              </w:rPr>
              <w:t xml:space="preserve"> overskrider de </w:t>
            </w:r>
            <w:r w:rsidR="00FE2F76">
              <w:rPr>
                <w:rFonts w:eastAsia="Times New Roman" w:cs="Calibri"/>
                <w:color w:val="000000"/>
                <w:sz w:val="20"/>
                <w:szCs w:val="20"/>
                <w:lang w:eastAsia="da-DK"/>
              </w:rPr>
              <w:t>budgetterede</w:t>
            </w:r>
            <w:r w:rsidRPr="00CF0EBA">
              <w:rPr>
                <w:rFonts w:eastAsia="Times New Roman" w:cs="Calibri"/>
                <w:color w:val="000000"/>
                <w:sz w:val="20"/>
                <w:szCs w:val="20"/>
                <w:lang w:eastAsia="da-DK"/>
              </w:rPr>
              <w:t xml:space="preserve"> serviceudgifter i 2017. Variablen tager værdien 1, hvis den pågældende kommune overskrider.</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i/>
                <w:iCs/>
                <w:color w:val="000000"/>
                <w:sz w:val="20"/>
                <w:szCs w:val="20"/>
                <w:lang w:eastAsia="da-DK"/>
              </w:rPr>
            </w:pPr>
            <w:r w:rsidRPr="00CF0EBA">
              <w:rPr>
                <w:rFonts w:eastAsia="Times New Roman" w:cs="Calibri"/>
                <w:i/>
                <w:iCs/>
                <w:color w:val="000000"/>
                <w:sz w:val="20"/>
                <w:szCs w:val="20"/>
                <w:lang w:eastAsia="da-DK"/>
              </w:rPr>
              <w:t>Hypotese 1: Udgiftstunge strukturer</w:t>
            </w:r>
          </w:p>
        </w:tc>
        <w:tc>
          <w:tcPr>
            <w:tcW w:w="5279" w:type="dxa"/>
            <w:tcBorders>
              <w:top w:val="nil"/>
              <w:left w:val="nil"/>
              <w:bottom w:val="nil"/>
              <w:right w:val="single" w:sz="4" w:space="0" w:color="auto"/>
            </w:tcBorders>
            <w:shd w:val="clear" w:color="000000" w:fill="FFFFFF"/>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473"/>
        </w:trPr>
        <w:tc>
          <w:tcPr>
            <w:tcW w:w="4240" w:type="dxa"/>
            <w:tcBorders>
              <w:top w:val="nil"/>
              <w:left w:val="single" w:sz="4" w:space="0" w:color="auto"/>
              <w:bottom w:val="nil"/>
              <w:right w:val="nil"/>
            </w:tcBorders>
            <w:shd w:val="clear" w:color="000000" w:fill="FFFFFF"/>
            <w:noWrap/>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H:1.1: Socioøkonomisk indeks</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Kommunalt nøgletal: De socioøkonomiske forhold i den pågældende kommune i 2017.</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i/>
                <w:iCs/>
                <w:color w:val="000000"/>
                <w:sz w:val="20"/>
                <w:szCs w:val="20"/>
                <w:lang w:eastAsia="da-DK"/>
              </w:rPr>
            </w:pPr>
            <w:r w:rsidRPr="00CF0EBA">
              <w:rPr>
                <w:rFonts w:eastAsia="Times New Roman" w:cs="Calibri"/>
                <w:i/>
                <w:iCs/>
                <w:color w:val="000000"/>
                <w:sz w:val="20"/>
                <w:szCs w:val="20"/>
                <w:lang w:eastAsia="da-DK"/>
              </w:rPr>
              <w:t>Hypotese 2: Politiske forklaringer</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473"/>
        </w:trPr>
        <w:tc>
          <w:tcPr>
            <w:tcW w:w="4240" w:type="dxa"/>
            <w:tcBorders>
              <w:top w:val="nil"/>
              <w:left w:val="single" w:sz="4" w:space="0" w:color="auto"/>
              <w:bottom w:val="nil"/>
              <w:right w:val="nil"/>
            </w:tcBorders>
            <w:shd w:val="clear" w:color="000000" w:fill="FFFFFF"/>
            <w:noWrap/>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H:2.1: Borgmesterens politiske tilhørsforhold</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Dummy for om borgmesteren repræsenterer Venstre eller De Konservative.</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H:2.2: Kommunalbestyrelsens fragmentering</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proofErr w:type="spellStart"/>
            <w:r w:rsidRPr="00CF0EBA">
              <w:rPr>
                <w:rFonts w:eastAsia="Times New Roman" w:cs="Calibri"/>
                <w:color w:val="000000"/>
                <w:sz w:val="20"/>
                <w:szCs w:val="20"/>
                <w:lang w:eastAsia="da-DK"/>
              </w:rPr>
              <w:t>Herfindahlindeks</w:t>
            </w:r>
            <w:proofErr w:type="spellEnd"/>
            <w:r w:rsidRPr="00CF0EBA">
              <w:rPr>
                <w:rFonts w:eastAsia="Times New Roman" w:cs="Calibri"/>
                <w:color w:val="000000"/>
                <w:sz w:val="20"/>
                <w:szCs w:val="20"/>
                <w:lang w:eastAsia="da-DK"/>
              </w:rPr>
              <w:t xml:space="preserve"> for politisk fragmentering.</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i/>
                <w:iCs/>
                <w:color w:val="000000"/>
                <w:sz w:val="20"/>
                <w:szCs w:val="20"/>
                <w:lang w:eastAsia="da-DK"/>
              </w:rPr>
            </w:pPr>
            <w:r w:rsidRPr="00CF0EBA">
              <w:rPr>
                <w:rFonts w:eastAsia="Times New Roman" w:cs="Calibri"/>
                <w:i/>
                <w:iCs/>
                <w:color w:val="000000"/>
                <w:sz w:val="20"/>
                <w:szCs w:val="20"/>
                <w:lang w:eastAsia="da-DK"/>
              </w:rPr>
              <w:t>Hypotese 3: Negative stød til den lokale økonomi</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H:3.1: Ændring i arbejdsløshedsprocent</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Diff</w:t>
            </w:r>
            <w:r>
              <w:rPr>
                <w:rFonts w:eastAsia="Times New Roman" w:cs="Calibri"/>
                <w:color w:val="000000"/>
                <w:sz w:val="20"/>
                <w:szCs w:val="20"/>
                <w:lang w:eastAsia="da-DK"/>
              </w:rPr>
              <w:t>erensen for ledighedsprocent</w:t>
            </w:r>
            <w:r w:rsidR="00FE2F76">
              <w:rPr>
                <w:rFonts w:eastAsia="Times New Roman" w:cs="Calibri"/>
                <w:color w:val="000000"/>
                <w:sz w:val="20"/>
                <w:szCs w:val="20"/>
                <w:lang w:eastAsia="da-DK"/>
              </w:rPr>
              <w:t>en</w:t>
            </w:r>
            <w:r>
              <w:rPr>
                <w:rFonts w:eastAsia="Times New Roman" w:cs="Calibri"/>
                <w:color w:val="000000"/>
                <w:sz w:val="20"/>
                <w:szCs w:val="20"/>
                <w:lang w:eastAsia="da-DK"/>
              </w:rPr>
              <w:t xml:space="preserve"> ul</w:t>
            </w:r>
            <w:r w:rsidRPr="00CF0EBA">
              <w:rPr>
                <w:rFonts w:eastAsia="Times New Roman" w:cs="Calibri"/>
                <w:color w:val="000000"/>
                <w:sz w:val="20"/>
                <w:szCs w:val="20"/>
                <w:lang w:eastAsia="da-DK"/>
              </w:rPr>
              <w:t>t</w:t>
            </w:r>
            <w:r>
              <w:rPr>
                <w:rFonts w:eastAsia="Times New Roman" w:cs="Calibri"/>
                <w:color w:val="000000"/>
                <w:sz w:val="20"/>
                <w:szCs w:val="20"/>
                <w:lang w:eastAsia="da-DK"/>
              </w:rPr>
              <w:t>i</w:t>
            </w:r>
            <w:r w:rsidRPr="00CF0EBA">
              <w:rPr>
                <w:rFonts w:eastAsia="Times New Roman" w:cs="Calibri"/>
                <w:color w:val="000000"/>
                <w:sz w:val="20"/>
                <w:szCs w:val="20"/>
                <w:lang w:eastAsia="da-DK"/>
              </w:rPr>
              <w:t>mo 2016 og 2017.</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i/>
                <w:iCs/>
                <w:color w:val="000000"/>
                <w:sz w:val="20"/>
                <w:szCs w:val="20"/>
                <w:lang w:eastAsia="da-DK"/>
              </w:rPr>
            </w:pPr>
            <w:r w:rsidRPr="00CF0EBA">
              <w:rPr>
                <w:rFonts w:eastAsia="Times New Roman" w:cs="Calibri"/>
                <w:i/>
                <w:iCs/>
                <w:color w:val="000000"/>
                <w:sz w:val="20"/>
                <w:szCs w:val="20"/>
                <w:lang w:eastAsia="da-DK"/>
              </w:rPr>
              <w:t>Hypotese 4: Skala og professionalisering</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H:4.1: Indbyggertal</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FE2F76" w:rsidP="00CF0EBA">
            <w:pPr>
              <w:spacing w:after="0" w:line="240" w:lineRule="auto"/>
              <w:rPr>
                <w:rFonts w:eastAsia="Times New Roman" w:cs="Calibri"/>
                <w:color w:val="000000"/>
                <w:sz w:val="20"/>
                <w:szCs w:val="20"/>
                <w:lang w:eastAsia="da-DK"/>
              </w:rPr>
            </w:pPr>
            <w:r>
              <w:rPr>
                <w:rFonts w:eastAsia="Times New Roman" w:cs="Calibri"/>
                <w:color w:val="000000"/>
                <w:sz w:val="20"/>
                <w:szCs w:val="20"/>
                <w:lang w:eastAsia="da-DK"/>
              </w:rPr>
              <w:t>Logaritmen til befolknings</w:t>
            </w:r>
            <w:r w:rsidR="00CF0EBA" w:rsidRPr="00CF0EBA">
              <w:rPr>
                <w:rFonts w:eastAsia="Times New Roman" w:cs="Calibri"/>
                <w:color w:val="000000"/>
                <w:sz w:val="20"/>
                <w:szCs w:val="20"/>
                <w:lang w:eastAsia="da-DK"/>
              </w:rPr>
              <w:t>tallet i kommunen i 2017.</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i/>
                <w:iCs/>
                <w:color w:val="000000"/>
                <w:sz w:val="20"/>
                <w:szCs w:val="20"/>
                <w:lang w:eastAsia="da-DK"/>
              </w:rPr>
            </w:pPr>
            <w:r w:rsidRPr="00CF0EBA">
              <w:rPr>
                <w:rFonts w:eastAsia="Times New Roman" w:cs="Calibri"/>
                <w:i/>
                <w:iCs/>
                <w:color w:val="000000"/>
                <w:sz w:val="20"/>
                <w:szCs w:val="20"/>
                <w:lang w:eastAsia="da-DK"/>
              </w:rPr>
              <w:t>Hypotese 5: Soliditeten i den kommunale økonomi</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H:5.1: Udskrivningsprocent</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xml:space="preserve">Udskrivningsprocenten i kommunen </w:t>
            </w:r>
            <w:r w:rsidR="00FE2F76">
              <w:rPr>
                <w:rFonts w:eastAsia="Times New Roman" w:cs="Calibri"/>
                <w:color w:val="000000"/>
                <w:sz w:val="20"/>
                <w:szCs w:val="20"/>
                <w:lang w:eastAsia="da-DK"/>
              </w:rPr>
              <w:t xml:space="preserve">i </w:t>
            </w:r>
            <w:r w:rsidRPr="00CF0EBA">
              <w:rPr>
                <w:rFonts w:eastAsia="Times New Roman" w:cs="Calibri"/>
                <w:color w:val="000000"/>
                <w:sz w:val="20"/>
                <w:szCs w:val="20"/>
                <w:lang w:eastAsia="da-DK"/>
              </w:rPr>
              <w:t>2017.</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709"/>
        </w:trPr>
        <w:tc>
          <w:tcPr>
            <w:tcW w:w="4240" w:type="dxa"/>
            <w:tcBorders>
              <w:top w:val="nil"/>
              <w:left w:val="single" w:sz="4" w:space="0" w:color="auto"/>
              <w:bottom w:val="nil"/>
              <w:right w:val="nil"/>
            </w:tcBorders>
            <w:shd w:val="clear" w:color="000000" w:fill="FFFFFF"/>
            <w:noWrap/>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H:5.2: Serviceniveau</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Kommunalt nøgletal: Det budgetterede forhold mellem udgifter og udgiftsbehov i 2017. Variablen er skaleret med 100 for at få mere fortolkningsvenlige estimater.</w:t>
            </w:r>
          </w:p>
        </w:tc>
      </w:tr>
      <w:tr w:rsidR="00CF0EBA" w:rsidRPr="00CF0EBA" w:rsidTr="00E17BFA">
        <w:trPr>
          <w:trHeight w:val="278"/>
        </w:trPr>
        <w:tc>
          <w:tcPr>
            <w:tcW w:w="4240" w:type="dxa"/>
            <w:tcBorders>
              <w:top w:val="nil"/>
              <w:left w:val="single" w:sz="4" w:space="0" w:color="auto"/>
              <w:bottom w:val="nil"/>
              <w:right w:val="nil"/>
            </w:tcBorders>
            <w:shd w:val="clear" w:color="000000" w:fill="FFFFFF"/>
            <w:noWrap/>
            <w:vAlign w:val="bottom"/>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c>
          <w:tcPr>
            <w:tcW w:w="5279" w:type="dxa"/>
            <w:tcBorders>
              <w:top w:val="nil"/>
              <w:left w:val="nil"/>
              <w:bottom w:val="nil"/>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 </w:t>
            </w:r>
          </w:p>
        </w:tc>
      </w:tr>
      <w:tr w:rsidR="00CF0EBA" w:rsidRPr="00CF0EBA" w:rsidTr="00E17BFA">
        <w:trPr>
          <w:trHeight w:val="1252"/>
        </w:trPr>
        <w:tc>
          <w:tcPr>
            <w:tcW w:w="4240" w:type="dxa"/>
            <w:tcBorders>
              <w:top w:val="nil"/>
              <w:left w:val="single" w:sz="4" w:space="0" w:color="auto"/>
              <w:bottom w:val="single" w:sz="4" w:space="0" w:color="auto"/>
              <w:right w:val="nil"/>
            </w:tcBorders>
            <w:shd w:val="clear" w:color="000000" w:fill="FFFFFF"/>
            <w:noWrap/>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H:5.3: Budgetoverholdelse i 2016</w:t>
            </w:r>
          </w:p>
        </w:tc>
        <w:tc>
          <w:tcPr>
            <w:tcW w:w="5279" w:type="dxa"/>
            <w:tcBorders>
              <w:top w:val="nil"/>
              <w:left w:val="nil"/>
              <w:bottom w:val="single" w:sz="4" w:space="0" w:color="auto"/>
              <w:right w:val="single" w:sz="4" w:space="0" w:color="auto"/>
            </w:tcBorders>
            <w:shd w:val="clear" w:color="000000" w:fill="FFFFFF"/>
            <w:hideMark/>
          </w:tcPr>
          <w:p w:rsidR="00CF0EBA" w:rsidRPr="00CF0EBA" w:rsidRDefault="00CF0EBA" w:rsidP="00CF0EBA">
            <w:pPr>
              <w:spacing w:after="0" w:line="240" w:lineRule="auto"/>
              <w:rPr>
                <w:rFonts w:eastAsia="Times New Roman" w:cs="Calibri"/>
                <w:color w:val="000000"/>
                <w:sz w:val="20"/>
                <w:szCs w:val="20"/>
                <w:lang w:eastAsia="da-DK"/>
              </w:rPr>
            </w:pPr>
            <w:r w:rsidRPr="00CF0EBA">
              <w:rPr>
                <w:rFonts w:eastAsia="Times New Roman" w:cs="Calibri"/>
                <w:color w:val="000000"/>
                <w:sz w:val="20"/>
                <w:szCs w:val="20"/>
                <w:lang w:eastAsia="da-DK"/>
              </w:rPr>
              <w:t>To variable bruges. En variabel som angiver den procentvise overskridelse for de budgetterede nettodriftsudgifter i 2016, og en dummyvariabel som angiver, om den pågældende kommune overskrider budgettet for serviceudgifterne i 2016.</w:t>
            </w:r>
          </w:p>
        </w:tc>
      </w:tr>
    </w:tbl>
    <w:p w:rsidR="005413B4" w:rsidRDefault="005413B4" w:rsidP="005413B4">
      <w:r>
        <w:br/>
      </w:r>
      <w:r w:rsidR="001D37AC">
        <w:t>Det har været overvejet</w:t>
      </w:r>
      <w:r w:rsidR="00493441" w:rsidRPr="00B578C4">
        <w:t xml:space="preserve"> at medtage andre variable for at </w:t>
      </w:r>
      <w:r w:rsidR="004D1622" w:rsidRPr="00B578C4">
        <w:t>inddække</w:t>
      </w:r>
      <w:r w:rsidR="00493441" w:rsidRPr="00B578C4">
        <w:t xml:space="preserve"> de potentielle forklaringer</w:t>
      </w:r>
      <w:r w:rsidR="001D37AC">
        <w:t xml:space="preserve"> yderligere</w:t>
      </w:r>
      <w:r w:rsidR="00493441" w:rsidRPr="00B578C4">
        <w:t>. Eksempelvis kan beskatningsgrundlaget medtages for at undersøge udgiftsstrukturerne i kommunen</w:t>
      </w:r>
      <w:r w:rsidR="004D1622" w:rsidRPr="00B578C4">
        <w:t>.</w:t>
      </w:r>
      <w:r w:rsidR="00493441" w:rsidRPr="00B578C4">
        <w:t xml:space="preserve"> </w:t>
      </w:r>
      <w:r w:rsidR="004D1622" w:rsidRPr="00B578C4">
        <w:t>D</w:t>
      </w:r>
      <w:r w:rsidR="00493441" w:rsidRPr="00B578C4">
        <w:t xml:space="preserve">erudover kan </w:t>
      </w:r>
      <w:r w:rsidR="004D1622" w:rsidRPr="00B578C4">
        <w:t>man</w:t>
      </w:r>
      <w:r w:rsidR="00493441" w:rsidRPr="00B578C4">
        <w:t xml:space="preserve"> </w:t>
      </w:r>
      <w:r w:rsidR="003C012D" w:rsidRPr="00B578C4">
        <w:t>argumenter</w:t>
      </w:r>
      <w:r w:rsidR="004D1622" w:rsidRPr="00B578C4">
        <w:t xml:space="preserve"> for</w:t>
      </w:r>
      <w:r w:rsidR="00493441" w:rsidRPr="00B578C4">
        <w:t xml:space="preserve"> at benytte likviditetsniveauet so</w:t>
      </w:r>
      <w:r w:rsidR="001D4278" w:rsidRPr="00B578C4">
        <w:t xml:space="preserve">m mulig forklaring ift. soliditeten i </w:t>
      </w:r>
      <w:r w:rsidR="00493441" w:rsidRPr="00B578C4">
        <w:t>kommune</w:t>
      </w:r>
      <w:r w:rsidR="001D4278" w:rsidRPr="00B578C4">
        <w:t>rne</w:t>
      </w:r>
      <w:r w:rsidR="00493441" w:rsidRPr="00B578C4">
        <w:t xml:space="preserve">. </w:t>
      </w:r>
      <w:r w:rsidR="001D37AC">
        <w:t>D</w:t>
      </w:r>
      <w:r w:rsidR="00493441" w:rsidRPr="00B578C4">
        <w:t>isse variable</w:t>
      </w:r>
      <w:r w:rsidR="001D37AC">
        <w:t xml:space="preserve"> er imidlertid</w:t>
      </w:r>
      <w:r w:rsidR="00493441" w:rsidRPr="00B578C4">
        <w:t xml:space="preserve"> ikke medtaget i regressionsmodellerne pga. deres høje korrelationer med andre </w:t>
      </w:r>
      <w:r w:rsidR="004D1622" w:rsidRPr="00B578C4">
        <w:t>forklarende variable jf. bilag 4</w:t>
      </w:r>
      <w:r w:rsidR="00493441" w:rsidRPr="00B578C4">
        <w:t xml:space="preserve">. </w:t>
      </w:r>
      <w:bookmarkStart w:id="17" w:name="_Hlk527111924"/>
    </w:p>
    <w:p w:rsidR="005413B4" w:rsidRDefault="005413B4" w:rsidP="005413B4">
      <w:r>
        <w:lastRenderedPageBreak/>
        <w:br w:type="page"/>
      </w:r>
    </w:p>
    <w:p w:rsidR="00F67C8A" w:rsidRPr="00683012" w:rsidRDefault="005413B4" w:rsidP="005413B4">
      <w:pPr>
        <w:pStyle w:val="Overskrift1"/>
      </w:pPr>
      <w:bookmarkStart w:id="18" w:name="_Toc532903353"/>
      <w:bookmarkStart w:id="19" w:name="_Toc532903586"/>
      <w:r w:rsidRPr="005413B4">
        <w:lastRenderedPageBreak/>
        <w:t>Resultaterne af den statistiske analyse</w:t>
      </w:r>
      <w:bookmarkEnd w:id="18"/>
      <w:bookmarkEnd w:id="19"/>
    </w:p>
    <w:bookmarkEnd w:id="17"/>
    <w:p w:rsidR="006F3636" w:rsidRDefault="005413B4" w:rsidP="005413B4">
      <w:r>
        <w:br/>
      </w:r>
      <w:r w:rsidR="00781CEC" w:rsidRPr="00B578C4">
        <w:t xml:space="preserve">Som udgangspunkt for de statistiske regressionsmodeller bruges der en </w:t>
      </w:r>
      <w:proofErr w:type="spellStart"/>
      <w:r w:rsidR="00781CEC" w:rsidRPr="00B578C4">
        <w:t>probit</w:t>
      </w:r>
      <w:proofErr w:type="spellEnd"/>
      <w:r w:rsidR="00E17BFA" w:rsidRPr="00B578C4">
        <w:t xml:space="preserve">-model. Denne </w:t>
      </w:r>
      <w:r w:rsidR="00781CEC" w:rsidRPr="00B578C4">
        <w:t xml:space="preserve">tester i </w:t>
      </w:r>
      <w:r w:rsidR="00E17BFA" w:rsidRPr="00B578C4">
        <w:t>hvilken grad</w:t>
      </w:r>
      <w:r w:rsidR="00781CEC" w:rsidRPr="00B578C4">
        <w:t xml:space="preserve"> de forskellige forklarende variable påvirker sandsynligheden for at kommunerne overskrider deres budgetter. I regressionerne er ø-kommunerne udeladt. Dette skyldes, at disse kommuner i særlig høj grad er betinget af særlige </w:t>
      </w:r>
      <w:r w:rsidR="008676F7" w:rsidRPr="00B578C4">
        <w:t>økonomiske</w:t>
      </w:r>
      <w:r w:rsidR="00781CEC" w:rsidRPr="00B578C4">
        <w:t xml:space="preserve"> ordninger med regeringen. </w:t>
      </w:r>
      <w:r w:rsidR="00382E4A" w:rsidRPr="00B578C4">
        <w:t xml:space="preserve">Analysen er udført med alle </w:t>
      </w:r>
      <w:r w:rsidR="006F3636" w:rsidRPr="00B578C4">
        <w:t xml:space="preserve">forklarende </w:t>
      </w:r>
      <w:r w:rsidR="00DF5772" w:rsidRPr="00B578C4">
        <w:t>variable</w:t>
      </w:r>
      <w:r w:rsidR="006F3636" w:rsidRPr="00B578C4">
        <w:t xml:space="preserve"> som fungerende.</w:t>
      </w:r>
      <w:r w:rsidR="00F33588" w:rsidRPr="00B578C4">
        <w:t xml:space="preserve"> Herefter er der gennemført</w:t>
      </w:r>
      <w:r w:rsidR="006F3636" w:rsidRPr="00B578C4">
        <w:t xml:space="preserve"> en stepvis reduktion af den fulde model, hvor de </w:t>
      </w:r>
      <w:r w:rsidR="008676F7" w:rsidRPr="00B578C4">
        <w:t>mindst signifikante udelukkes é</w:t>
      </w:r>
      <w:r w:rsidR="006F3636" w:rsidRPr="00B578C4">
        <w:t>n ad gangen. Det viser sig</w:t>
      </w:r>
      <w:r w:rsidR="008676F7" w:rsidRPr="00B578C4">
        <w:t>,</w:t>
      </w:r>
      <w:r w:rsidR="006F3636" w:rsidRPr="00B578C4">
        <w:t xml:space="preserve"> at kun enkelte af variablene er signifikante i modellerne. </w:t>
      </w:r>
    </w:p>
    <w:tbl>
      <w:tblPr>
        <w:tblW w:w="9329" w:type="dxa"/>
        <w:tblInd w:w="55" w:type="dxa"/>
        <w:tblCellMar>
          <w:left w:w="70" w:type="dxa"/>
          <w:right w:w="70" w:type="dxa"/>
        </w:tblCellMar>
        <w:tblLook w:val="04A0" w:firstRow="1" w:lastRow="0" w:firstColumn="1" w:lastColumn="0" w:noHBand="0" w:noVBand="1"/>
      </w:tblPr>
      <w:tblGrid>
        <w:gridCol w:w="3313"/>
        <w:gridCol w:w="3008"/>
        <w:gridCol w:w="3008"/>
      </w:tblGrid>
      <w:tr w:rsidR="009B6A5B" w:rsidRPr="009B6A5B" w:rsidTr="005413B4">
        <w:trPr>
          <w:trHeight w:val="521"/>
        </w:trPr>
        <w:tc>
          <w:tcPr>
            <w:tcW w:w="9329" w:type="dxa"/>
            <w:gridSpan w:val="3"/>
            <w:tcBorders>
              <w:top w:val="single" w:sz="4" w:space="0" w:color="auto"/>
              <w:left w:val="single" w:sz="4" w:space="0" w:color="auto"/>
              <w:bottom w:val="nil"/>
              <w:right w:val="single" w:sz="4" w:space="0" w:color="auto"/>
            </w:tcBorders>
            <w:shd w:val="clear" w:color="000000" w:fill="003865"/>
            <w:vAlign w:val="center"/>
            <w:hideMark/>
          </w:tcPr>
          <w:p w:rsidR="009B6A5B" w:rsidRPr="009B6A5B" w:rsidRDefault="009B6A5B" w:rsidP="009B6A5B">
            <w:pPr>
              <w:spacing w:after="0" w:line="240" w:lineRule="auto"/>
              <w:rPr>
                <w:rFonts w:eastAsia="Times New Roman" w:cs="Calibri"/>
                <w:color w:val="FFFFFF"/>
                <w:sz w:val="24"/>
                <w:szCs w:val="24"/>
                <w:lang w:eastAsia="da-DK"/>
              </w:rPr>
            </w:pPr>
            <w:r w:rsidRPr="009B6A5B">
              <w:rPr>
                <w:rFonts w:eastAsia="Times New Roman" w:cs="Calibri"/>
                <w:color w:val="FFFFFF"/>
                <w:sz w:val="24"/>
                <w:szCs w:val="24"/>
                <w:lang w:eastAsia="da-DK"/>
              </w:rPr>
              <w:t>Figur</w:t>
            </w:r>
            <w:r w:rsidR="001B4328">
              <w:rPr>
                <w:rFonts w:eastAsia="Times New Roman" w:cs="Calibri"/>
                <w:color w:val="FFFFFF"/>
                <w:sz w:val="24"/>
                <w:szCs w:val="24"/>
                <w:lang w:eastAsia="da-DK"/>
              </w:rPr>
              <w:t xml:space="preserve"> </w:t>
            </w:r>
            <w:r w:rsidR="007A755D">
              <w:fldChar w:fldCharType="begin"/>
            </w:r>
            <w:r w:rsidR="007A755D">
              <w:instrText xml:space="preserve"> SEQ Figur \* ARABIC </w:instrText>
            </w:r>
            <w:r w:rsidR="007A755D">
              <w:fldChar w:fldCharType="separate"/>
            </w:r>
            <w:r w:rsidR="00470072">
              <w:rPr>
                <w:noProof/>
              </w:rPr>
              <w:t>5</w:t>
            </w:r>
            <w:r w:rsidR="007A755D">
              <w:rPr>
                <w:noProof/>
              </w:rPr>
              <w:fldChar w:fldCharType="end"/>
            </w:r>
            <w:r w:rsidRPr="009B6A5B">
              <w:rPr>
                <w:rFonts w:eastAsia="Times New Roman" w:cs="Calibri"/>
                <w:color w:val="FFFFFF"/>
                <w:sz w:val="24"/>
                <w:szCs w:val="24"/>
                <w:lang w:eastAsia="da-DK"/>
              </w:rPr>
              <w:t>. Forklaring af kommunernes budgetoverskridelser målt på nettodriftsudgifterne i 2017</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5413B4" w:rsidRDefault="009B6A5B" w:rsidP="009B6A5B">
            <w:pPr>
              <w:spacing w:after="0" w:line="240" w:lineRule="auto"/>
              <w:jc w:val="center"/>
              <w:rPr>
                <w:rFonts w:eastAsia="Times New Roman" w:cs="Calibri"/>
                <w:b/>
                <w:sz w:val="20"/>
                <w:szCs w:val="20"/>
                <w:lang w:eastAsia="da-DK"/>
              </w:rPr>
            </w:pPr>
            <w:r w:rsidRPr="005413B4">
              <w:rPr>
                <w:rFonts w:eastAsia="Times New Roman" w:cs="Calibri"/>
                <w:b/>
                <w:sz w:val="20"/>
                <w:szCs w:val="20"/>
                <w:lang w:eastAsia="da-DK"/>
              </w:rPr>
              <w:t>(1)</w:t>
            </w:r>
          </w:p>
        </w:tc>
        <w:tc>
          <w:tcPr>
            <w:tcW w:w="3008" w:type="dxa"/>
            <w:tcBorders>
              <w:top w:val="nil"/>
              <w:left w:val="nil"/>
              <w:bottom w:val="nil"/>
              <w:right w:val="single" w:sz="4" w:space="0" w:color="auto"/>
            </w:tcBorders>
            <w:shd w:val="clear" w:color="000000" w:fill="FFFFFF"/>
            <w:noWrap/>
            <w:vAlign w:val="bottom"/>
            <w:hideMark/>
          </w:tcPr>
          <w:p w:rsidR="009B6A5B" w:rsidRPr="005413B4" w:rsidRDefault="009B6A5B" w:rsidP="009B6A5B">
            <w:pPr>
              <w:spacing w:after="0" w:line="240" w:lineRule="auto"/>
              <w:jc w:val="center"/>
              <w:rPr>
                <w:rFonts w:eastAsia="Times New Roman" w:cs="Calibri"/>
                <w:b/>
                <w:sz w:val="20"/>
                <w:szCs w:val="20"/>
                <w:lang w:eastAsia="da-DK"/>
              </w:rPr>
            </w:pPr>
            <w:r w:rsidRPr="005413B4">
              <w:rPr>
                <w:rFonts w:eastAsia="Times New Roman" w:cs="Calibri"/>
                <w:b/>
                <w:sz w:val="20"/>
                <w:szCs w:val="20"/>
                <w:lang w:eastAsia="da-DK"/>
              </w:rPr>
              <w:t>(2)</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VARIABLE</w:t>
            </w:r>
          </w:p>
        </w:tc>
        <w:tc>
          <w:tcPr>
            <w:tcW w:w="3008" w:type="dxa"/>
            <w:tcBorders>
              <w:top w:val="nil"/>
              <w:left w:val="nil"/>
              <w:bottom w:val="nil"/>
              <w:right w:val="nil"/>
            </w:tcBorders>
            <w:shd w:val="clear" w:color="000000" w:fill="FFFFFF"/>
            <w:noWrap/>
            <w:vAlign w:val="bottom"/>
            <w:hideMark/>
          </w:tcPr>
          <w:p w:rsidR="009B6A5B" w:rsidRPr="005413B4" w:rsidRDefault="009B6A5B" w:rsidP="009B6A5B">
            <w:pPr>
              <w:spacing w:after="0" w:line="240" w:lineRule="auto"/>
              <w:jc w:val="center"/>
              <w:rPr>
                <w:rFonts w:eastAsia="Times New Roman" w:cs="Calibri"/>
                <w:b/>
                <w:sz w:val="20"/>
                <w:szCs w:val="20"/>
                <w:lang w:eastAsia="da-DK"/>
              </w:rPr>
            </w:pPr>
            <w:r w:rsidRPr="005413B4">
              <w:rPr>
                <w:rFonts w:eastAsia="Times New Roman" w:cs="Calibri"/>
                <w:b/>
                <w:sz w:val="20"/>
                <w:szCs w:val="20"/>
                <w:lang w:eastAsia="da-DK"/>
              </w:rPr>
              <w:t>Fuld model</w:t>
            </w:r>
          </w:p>
        </w:tc>
        <w:tc>
          <w:tcPr>
            <w:tcW w:w="3008" w:type="dxa"/>
            <w:tcBorders>
              <w:top w:val="nil"/>
              <w:left w:val="nil"/>
              <w:bottom w:val="nil"/>
              <w:right w:val="single" w:sz="4" w:space="0" w:color="auto"/>
            </w:tcBorders>
            <w:shd w:val="clear" w:color="000000" w:fill="FFFFFF"/>
            <w:noWrap/>
            <w:vAlign w:val="bottom"/>
            <w:hideMark/>
          </w:tcPr>
          <w:p w:rsidR="009B6A5B" w:rsidRPr="005413B4" w:rsidRDefault="009B6A5B" w:rsidP="009B6A5B">
            <w:pPr>
              <w:spacing w:after="0" w:line="240" w:lineRule="auto"/>
              <w:jc w:val="center"/>
              <w:rPr>
                <w:rFonts w:eastAsia="Times New Roman" w:cs="Calibri"/>
                <w:b/>
                <w:sz w:val="20"/>
                <w:szCs w:val="20"/>
                <w:lang w:eastAsia="da-DK"/>
              </w:rPr>
            </w:pPr>
            <w:r w:rsidRPr="005413B4">
              <w:rPr>
                <w:rFonts w:eastAsia="Times New Roman" w:cs="Calibri"/>
                <w:b/>
                <w:sz w:val="20"/>
                <w:szCs w:val="20"/>
                <w:lang w:eastAsia="da-DK"/>
              </w:rPr>
              <w:t>Reduceret model</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Socioøkonomisk indeks</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0,268</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(0,908)</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Borgmester</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0,107</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(0,317)</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proofErr w:type="spellStart"/>
            <w:r w:rsidRPr="009B6A5B">
              <w:rPr>
                <w:rFonts w:eastAsia="Times New Roman" w:cs="Calibri"/>
                <w:sz w:val="20"/>
                <w:szCs w:val="20"/>
                <w:lang w:eastAsia="da-DK"/>
              </w:rPr>
              <w:t>Herfindahlindeks</w:t>
            </w:r>
            <w:proofErr w:type="spellEnd"/>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0,0467</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(0,0321)</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Ændring i ledighed</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-0,833</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(0,582)</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Indbyggertal</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0,293</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(0,325)</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proofErr w:type="spellStart"/>
            <w:r w:rsidRPr="009B6A5B">
              <w:rPr>
                <w:rFonts w:eastAsia="Times New Roman" w:cs="Calibri"/>
                <w:sz w:val="20"/>
                <w:szCs w:val="20"/>
                <w:lang w:eastAsia="da-DK"/>
              </w:rPr>
              <w:t>Udskrivningspct</w:t>
            </w:r>
            <w:proofErr w:type="spellEnd"/>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0,00729</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(0,208)</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Serviceniveau</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0,164***</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0,139***</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(0,0581)</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(0,0452)</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Pr>
                <w:rFonts w:eastAsia="Times New Roman" w:cs="Calibri"/>
                <w:sz w:val="20"/>
                <w:szCs w:val="20"/>
                <w:lang w:eastAsia="da-DK"/>
              </w:rPr>
              <w:t>Procentvis o</w:t>
            </w:r>
            <w:r w:rsidRPr="009B6A5B">
              <w:rPr>
                <w:rFonts w:eastAsia="Times New Roman" w:cs="Calibri"/>
                <w:sz w:val="20"/>
                <w:szCs w:val="20"/>
                <w:lang w:eastAsia="da-DK"/>
              </w:rPr>
              <w:t>verskridelse i 2016</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0,150**</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0,137*</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(0,0732)</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(0,0744)</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Konstant</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-22,35***</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-14,99***</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(8,184)</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(4,632)</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9B6A5B" w:rsidRPr="009B6A5B" w:rsidTr="005413B4">
        <w:trPr>
          <w:trHeight w:val="254"/>
        </w:trPr>
        <w:tc>
          <w:tcPr>
            <w:tcW w:w="3313" w:type="dxa"/>
            <w:tcBorders>
              <w:top w:val="nil"/>
              <w:left w:val="single" w:sz="4" w:space="0" w:color="auto"/>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lang w:eastAsia="da-DK"/>
              </w:rPr>
            </w:pPr>
            <w:r w:rsidRPr="009B6A5B">
              <w:rPr>
                <w:rFonts w:eastAsia="Times New Roman" w:cs="Calibri"/>
                <w:sz w:val="20"/>
                <w:szCs w:val="20"/>
                <w:lang w:eastAsia="da-DK"/>
              </w:rPr>
              <w:t>Observationer</w:t>
            </w:r>
          </w:p>
        </w:tc>
        <w:tc>
          <w:tcPr>
            <w:tcW w:w="3008" w:type="dxa"/>
            <w:tcBorders>
              <w:top w:val="nil"/>
              <w:left w:val="nil"/>
              <w:bottom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c>
          <w:tcPr>
            <w:tcW w:w="3008" w:type="dxa"/>
            <w:tcBorders>
              <w:top w:val="nil"/>
              <w:left w:val="nil"/>
              <w:bottom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r>
      <w:tr w:rsidR="009B6A5B" w:rsidRPr="009B6A5B" w:rsidTr="005413B4">
        <w:trPr>
          <w:trHeight w:val="254"/>
        </w:trPr>
        <w:tc>
          <w:tcPr>
            <w:tcW w:w="3313" w:type="dxa"/>
            <w:tcBorders>
              <w:top w:val="nil"/>
              <w:left w:val="single" w:sz="4" w:space="0" w:color="auto"/>
              <w:right w:val="nil"/>
            </w:tcBorders>
            <w:shd w:val="clear" w:color="000000" w:fill="FFFFFF"/>
            <w:noWrap/>
            <w:vAlign w:val="bottom"/>
            <w:hideMark/>
          </w:tcPr>
          <w:p w:rsidR="009B6A5B" w:rsidRPr="009B6A5B" w:rsidRDefault="009B6A5B" w:rsidP="009B6A5B">
            <w:pPr>
              <w:spacing w:after="0" w:line="240" w:lineRule="auto"/>
              <w:rPr>
                <w:rFonts w:eastAsia="Times New Roman" w:cs="Calibri"/>
                <w:sz w:val="20"/>
                <w:szCs w:val="20"/>
                <w:vertAlign w:val="superscript"/>
                <w:lang w:eastAsia="da-DK"/>
              </w:rPr>
            </w:pPr>
            <w:r>
              <w:rPr>
                <w:rFonts w:eastAsia="Times New Roman" w:cs="Calibri"/>
                <w:sz w:val="20"/>
                <w:szCs w:val="20"/>
                <w:lang w:eastAsia="da-DK"/>
              </w:rPr>
              <w:t>R</w:t>
            </w:r>
            <w:r>
              <w:rPr>
                <w:rFonts w:eastAsia="Times New Roman" w:cs="Calibri"/>
                <w:sz w:val="20"/>
                <w:szCs w:val="20"/>
                <w:vertAlign w:val="superscript"/>
                <w:lang w:eastAsia="da-DK"/>
              </w:rPr>
              <w:t>2</w:t>
            </w:r>
          </w:p>
        </w:tc>
        <w:tc>
          <w:tcPr>
            <w:tcW w:w="3008" w:type="dxa"/>
            <w:tcBorders>
              <w:top w:val="nil"/>
              <w:left w:val="nil"/>
              <w:right w:val="nil"/>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0,205</w:t>
            </w:r>
          </w:p>
        </w:tc>
        <w:tc>
          <w:tcPr>
            <w:tcW w:w="3008" w:type="dxa"/>
            <w:tcBorders>
              <w:top w:val="nil"/>
              <w:left w:val="nil"/>
              <w:right w:val="single" w:sz="4" w:space="0" w:color="auto"/>
            </w:tcBorders>
            <w:shd w:val="clear" w:color="000000" w:fill="FFFFFF"/>
            <w:noWrap/>
            <w:vAlign w:val="bottom"/>
            <w:hideMark/>
          </w:tcPr>
          <w:p w:rsidR="009B6A5B" w:rsidRPr="009B6A5B" w:rsidRDefault="009B6A5B" w:rsidP="009B6A5B">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0,143</w:t>
            </w:r>
          </w:p>
        </w:tc>
      </w:tr>
      <w:tr w:rsidR="009B6A5B" w:rsidRPr="009B6A5B" w:rsidTr="005413B4">
        <w:trPr>
          <w:trHeight w:val="568"/>
        </w:trPr>
        <w:tc>
          <w:tcPr>
            <w:tcW w:w="9329" w:type="dxa"/>
            <w:gridSpan w:val="3"/>
            <w:tcBorders>
              <w:top w:val="nil"/>
              <w:left w:val="single" w:sz="4" w:space="0" w:color="auto"/>
              <w:bottom w:val="nil"/>
              <w:right w:val="single" w:sz="4" w:space="0" w:color="auto"/>
            </w:tcBorders>
            <w:shd w:val="clear" w:color="000000" w:fill="FFFFFF"/>
            <w:vAlign w:val="center"/>
            <w:hideMark/>
          </w:tcPr>
          <w:p w:rsidR="005413B4" w:rsidRDefault="009B6A5B" w:rsidP="009B6A5B">
            <w:pPr>
              <w:spacing w:after="0" w:line="240" w:lineRule="auto"/>
              <w:rPr>
                <w:rFonts w:eastAsia="Times New Roman" w:cs="Calibri"/>
                <w:i/>
                <w:iCs/>
                <w:sz w:val="19"/>
                <w:szCs w:val="19"/>
                <w:lang w:eastAsia="da-DK"/>
              </w:rPr>
            </w:pPr>
            <w:r w:rsidRPr="009B6A5B">
              <w:rPr>
                <w:rFonts w:eastAsia="Times New Roman" w:cs="Calibri"/>
                <w:i/>
                <w:iCs/>
                <w:sz w:val="19"/>
                <w:szCs w:val="19"/>
                <w:lang w:eastAsia="da-DK"/>
              </w:rPr>
              <w:t>Anm:</w:t>
            </w:r>
            <w:r w:rsidR="00432A58">
              <w:rPr>
                <w:rFonts w:eastAsia="Times New Roman" w:cs="Calibri"/>
                <w:i/>
                <w:iCs/>
                <w:sz w:val="19"/>
                <w:szCs w:val="19"/>
                <w:lang w:eastAsia="da-DK"/>
              </w:rPr>
              <w:t xml:space="preserve"> Den kørte statistiske model er en OLS-model. </w:t>
            </w:r>
            <w:r w:rsidRPr="009B6A5B">
              <w:rPr>
                <w:rFonts w:eastAsia="Times New Roman" w:cs="Calibri"/>
                <w:i/>
                <w:iCs/>
                <w:sz w:val="19"/>
                <w:szCs w:val="19"/>
                <w:lang w:eastAsia="da-DK"/>
              </w:rPr>
              <w:t xml:space="preserve"> I en </w:t>
            </w:r>
            <w:proofErr w:type="spellStart"/>
            <w:r w:rsidRPr="009B6A5B">
              <w:rPr>
                <w:rFonts w:eastAsia="Times New Roman" w:cs="Calibri"/>
                <w:i/>
                <w:iCs/>
                <w:sz w:val="19"/>
                <w:szCs w:val="19"/>
                <w:lang w:eastAsia="da-DK"/>
              </w:rPr>
              <w:t>probitmodel</w:t>
            </w:r>
            <w:proofErr w:type="spellEnd"/>
            <w:r w:rsidRPr="009B6A5B">
              <w:rPr>
                <w:rFonts w:eastAsia="Times New Roman" w:cs="Calibri"/>
                <w:i/>
                <w:iCs/>
                <w:sz w:val="19"/>
                <w:szCs w:val="19"/>
                <w:lang w:eastAsia="da-DK"/>
              </w:rPr>
              <w:t xml:space="preserve"> hvor den afhængige variabel er en dummyvariabel</w:t>
            </w:r>
            <w:r w:rsidR="00967427">
              <w:rPr>
                <w:rFonts w:eastAsia="Times New Roman" w:cs="Calibri"/>
                <w:i/>
                <w:iCs/>
                <w:sz w:val="19"/>
                <w:szCs w:val="19"/>
                <w:lang w:eastAsia="da-DK"/>
              </w:rPr>
              <w:t>,</w:t>
            </w:r>
            <w:r w:rsidRPr="009B6A5B">
              <w:rPr>
                <w:rFonts w:eastAsia="Times New Roman" w:cs="Calibri"/>
                <w:i/>
                <w:iCs/>
                <w:sz w:val="19"/>
                <w:szCs w:val="19"/>
                <w:lang w:eastAsia="da-DK"/>
              </w:rPr>
              <w:t xml:space="preserve"> som angiver</w:t>
            </w:r>
            <w:r w:rsidR="00967427">
              <w:rPr>
                <w:rFonts w:eastAsia="Times New Roman" w:cs="Calibri"/>
                <w:i/>
                <w:iCs/>
                <w:sz w:val="19"/>
                <w:szCs w:val="19"/>
                <w:lang w:eastAsia="da-DK"/>
              </w:rPr>
              <w:t>,</w:t>
            </w:r>
            <w:r w:rsidRPr="009B6A5B">
              <w:rPr>
                <w:rFonts w:eastAsia="Times New Roman" w:cs="Calibri"/>
                <w:i/>
                <w:iCs/>
                <w:sz w:val="19"/>
                <w:szCs w:val="19"/>
                <w:lang w:eastAsia="da-DK"/>
              </w:rPr>
              <w:t xml:space="preserve"> hvorvidt nettodriftsudgifterne overskrider budgettet i 2017</w:t>
            </w:r>
            <w:r w:rsidR="00967427">
              <w:rPr>
                <w:rFonts w:eastAsia="Times New Roman" w:cs="Calibri"/>
                <w:i/>
                <w:iCs/>
                <w:sz w:val="19"/>
                <w:szCs w:val="19"/>
                <w:lang w:eastAsia="da-DK"/>
              </w:rPr>
              <w:t>,</w:t>
            </w:r>
            <w:r w:rsidRPr="009B6A5B">
              <w:rPr>
                <w:rFonts w:eastAsia="Times New Roman" w:cs="Calibri"/>
                <w:i/>
                <w:iCs/>
                <w:sz w:val="19"/>
                <w:szCs w:val="19"/>
                <w:lang w:eastAsia="da-DK"/>
              </w:rPr>
              <w:t xml:space="preserve"> er ingen af de forklarende variable signifikante.</w:t>
            </w:r>
            <w:r w:rsidR="005413B4">
              <w:t xml:space="preserve"> </w:t>
            </w:r>
            <w:r w:rsidR="005413B4" w:rsidRPr="005413B4">
              <w:rPr>
                <w:rFonts w:eastAsia="Times New Roman" w:cs="Calibri"/>
                <w:i/>
                <w:iCs/>
                <w:sz w:val="19"/>
                <w:szCs w:val="19"/>
                <w:lang w:eastAsia="da-DK"/>
              </w:rPr>
              <w:t>Robuste standardfejl i parentes</w:t>
            </w:r>
            <w:r w:rsidR="005413B4">
              <w:rPr>
                <w:rFonts w:eastAsia="Times New Roman" w:cs="Calibri"/>
                <w:i/>
                <w:iCs/>
                <w:sz w:val="19"/>
                <w:szCs w:val="19"/>
                <w:lang w:eastAsia="da-DK"/>
              </w:rPr>
              <w:t xml:space="preserve">. </w:t>
            </w:r>
            <w:r w:rsidR="005413B4" w:rsidRPr="009B6A5B">
              <w:rPr>
                <w:rFonts w:eastAsia="Times New Roman" w:cs="Calibri"/>
                <w:i/>
                <w:iCs/>
                <w:sz w:val="19"/>
                <w:szCs w:val="19"/>
                <w:lang w:eastAsia="da-DK"/>
              </w:rPr>
              <w:t>*** p&lt;0,01; ** p&lt;0,05; * p&lt;0,1</w:t>
            </w:r>
            <w:r w:rsidR="005413B4">
              <w:rPr>
                <w:rFonts w:eastAsia="Times New Roman" w:cs="Calibri"/>
                <w:i/>
                <w:iCs/>
                <w:sz w:val="19"/>
                <w:szCs w:val="19"/>
                <w:lang w:eastAsia="da-DK"/>
              </w:rPr>
              <w:t>.</w:t>
            </w:r>
          </w:p>
          <w:p w:rsidR="009B6A5B" w:rsidRPr="009B6A5B" w:rsidRDefault="00967427" w:rsidP="009B6A5B">
            <w:pPr>
              <w:spacing w:after="0" w:line="240" w:lineRule="auto"/>
              <w:rPr>
                <w:rFonts w:eastAsia="Times New Roman" w:cs="Calibri"/>
                <w:i/>
                <w:iCs/>
                <w:sz w:val="19"/>
                <w:szCs w:val="19"/>
                <w:lang w:eastAsia="da-DK"/>
              </w:rPr>
            </w:pPr>
            <w:r>
              <w:rPr>
                <w:rFonts w:eastAsia="Times New Roman" w:cs="Calibri"/>
                <w:i/>
                <w:iCs/>
                <w:sz w:val="19"/>
                <w:szCs w:val="19"/>
                <w:lang w:eastAsia="da-DK"/>
              </w:rPr>
              <w:lastRenderedPageBreak/>
              <w:t xml:space="preserve"> </w:t>
            </w:r>
            <w:r w:rsidR="005413B4" w:rsidRPr="005413B4">
              <w:rPr>
                <w:rFonts w:eastAsia="Times New Roman" w:cs="Calibri"/>
                <w:i/>
                <w:iCs/>
                <w:sz w:val="19"/>
                <w:szCs w:val="19"/>
                <w:lang w:eastAsia="da-DK"/>
              </w:rPr>
              <w:t>Kilde: noegletal.dk, dst.dk</w:t>
            </w:r>
          </w:p>
        </w:tc>
      </w:tr>
      <w:tr w:rsidR="009B6A5B" w:rsidRPr="009B6A5B" w:rsidTr="005413B4">
        <w:trPr>
          <w:trHeight w:val="254"/>
        </w:trPr>
        <w:tc>
          <w:tcPr>
            <w:tcW w:w="3313" w:type="dxa"/>
            <w:tcBorders>
              <w:top w:val="single" w:sz="4" w:space="0" w:color="auto"/>
              <w:left w:val="nil"/>
              <w:bottom w:val="nil"/>
              <w:right w:val="nil"/>
            </w:tcBorders>
            <w:shd w:val="clear" w:color="000000" w:fill="FFFFFF"/>
            <w:noWrap/>
            <w:vAlign w:val="bottom"/>
            <w:hideMark/>
          </w:tcPr>
          <w:p w:rsidR="00683012" w:rsidRDefault="00683012" w:rsidP="009B6A5B">
            <w:pPr>
              <w:spacing w:after="0" w:line="240" w:lineRule="auto"/>
              <w:rPr>
                <w:rFonts w:eastAsia="Times New Roman" w:cs="Calibri"/>
                <w:i/>
                <w:iCs/>
                <w:sz w:val="19"/>
                <w:szCs w:val="19"/>
                <w:lang w:eastAsia="da-DK"/>
              </w:rPr>
            </w:pPr>
          </w:p>
          <w:p w:rsidR="00704EE3" w:rsidRPr="009B6A5B" w:rsidRDefault="00704EE3" w:rsidP="009B6A5B">
            <w:pPr>
              <w:spacing w:after="0" w:line="240" w:lineRule="auto"/>
              <w:rPr>
                <w:rFonts w:eastAsia="Times New Roman" w:cs="Calibri"/>
                <w:i/>
                <w:iCs/>
                <w:sz w:val="19"/>
                <w:szCs w:val="19"/>
                <w:lang w:eastAsia="da-DK"/>
              </w:rPr>
            </w:pPr>
          </w:p>
        </w:tc>
        <w:tc>
          <w:tcPr>
            <w:tcW w:w="3008" w:type="dxa"/>
            <w:tcBorders>
              <w:top w:val="single" w:sz="4" w:space="0" w:color="auto"/>
              <w:left w:val="nil"/>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i/>
                <w:iCs/>
                <w:sz w:val="19"/>
                <w:szCs w:val="19"/>
                <w:lang w:eastAsia="da-DK"/>
              </w:rPr>
            </w:pPr>
            <w:r w:rsidRPr="009B6A5B">
              <w:rPr>
                <w:rFonts w:eastAsia="Times New Roman" w:cs="Calibri"/>
                <w:i/>
                <w:iCs/>
                <w:sz w:val="19"/>
                <w:szCs w:val="19"/>
                <w:lang w:eastAsia="da-DK"/>
              </w:rPr>
              <w:t> </w:t>
            </w:r>
          </w:p>
        </w:tc>
        <w:tc>
          <w:tcPr>
            <w:tcW w:w="3008" w:type="dxa"/>
            <w:tcBorders>
              <w:top w:val="single" w:sz="4" w:space="0" w:color="auto"/>
              <w:left w:val="nil"/>
              <w:bottom w:val="nil"/>
              <w:right w:val="nil"/>
            </w:tcBorders>
            <w:shd w:val="clear" w:color="000000" w:fill="FFFFFF"/>
            <w:noWrap/>
            <w:vAlign w:val="bottom"/>
            <w:hideMark/>
          </w:tcPr>
          <w:p w:rsidR="009B6A5B" w:rsidRPr="009B6A5B" w:rsidRDefault="009B6A5B" w:rsidP="009B6A5B">
            <w:pPr>
              <w:spacing w:after="0" w:line="240" w:lineRule="auto"/>
              <w:rPr>
                <w:rFonts w:eastAsia="Times New Roman" w:cs="Calibri"/>
                <w:i/>
                <w:iCs/>
                <w:sz w:val="19"/>
                <w:szCs w:val="19"/>
                <w:lang w:eastAsia="da-DK"/>
              </w:rPr>
            </w:pPr>
            <w:r w:rsidRPr="009B6A5B">
              <w:rPr>
                <w:rFonts w:eastAsia="Times New Roman" w:cs="Calibri"/>
                <w:i/>
                <w:iCs/>
                <w:sz w:val="19"/>
                <w:szCs w:val="19"/>
                <w:lang w:eastAsia="da-DK"/>
              </w:rPr>
              <w:t> </w:t>
            </w:r>
          </w:p>
        </w:tc>
      </w:tr>
    </w:tbl>
    <w:p w:rsidR="00546579" w:rsidRDefault="006F3636" w:rsidP="005413B4">
      <w:r w:rsidRPr="00210087">
        <w:t xml:space="preserve">I figur 5 undersøges nettodriftsudgifterne. Som afhængig variabel er der taget udgangspunkt i </w:t>
      </w:r>
      <w:r w:rsidR="003C56F7" w:rsidRPr="00210087">
        <w:t>den procentvise overskridelse for kommunerne</w:t>
      </w:r>
      <w:r w:rsidR="00967427" w:rsidRPr="00210087">
        <w:t xml:space="preserve"> i 2017</w:t>
      </w:r>
      <w:r w:rsidR="003C56F7" w:rsidRPr="00210087">
        <w:t>.</w:t>
      </w:r>
      <w:r w:rsidR="00967427" w:rsidRPr="00210087">
        <w:t xml:space="preserve"> Modellen analyseres derved vha.</w:t>
      </w:r>
      <w:r w:rsidR="00546579">
        <w:t xml:space="preserve"> en </w:t>
      </w:r>
      <w:r w:rsidR="00967427" w:rsidRPr="00210087">
        <w:t>OLS</w:t>
      </w:r>
      <w:r w:rsidR="00546579">
        <w:t xml:space="preserve"> regression, som beregner, </w:t>
      </w:r>
      <w:r w:rsidR="00546579" w:rsidRPr="00546579">
        <w:rPr>
          <w:i/>
        </w:rPr>
        <w:t>hvor stærkt</w:t>
      </w:r>
      <w:r w:rsidR="00546579">
        <w:t xml:space="preserve"> de forklarende variable påvirker budgetoverskridelsen</w:t>
      </w:r>
      <w:r w:rsidR="00967427" w:rsidRPr="00210087">
        <w:t>.</w:t>
      </w:r>
      <w:r w:rsidR="003C56F7" w:rsidRPr="00210087">
        <w:t xml:space="preserve"> Det bemærkes, at to variable </w:t>
      </w:r>
      <w:r w:rsidR="009B3E54" w:rsidRPr="00210087">
        <w:t>er signifikante i modellen. Først og fremmest er s</w:t>
      </w:r>
      <w:r w:rsidR="003C56F7" w:rsidRPr="00210087">
        <w:t xml:space="preserve">erviceniveauet signifikant og positivt. Koefficienten har sågar en </w:t>
      </w:r>
      <w:r w:rsidR="00DE0375" w:rsidRPr="00210087">
        <w:t>betydelig</w:t>
      </w:r>
      <w:r w:rsidR="003C56F7" w:rsidRPr="00210087">
        <w:t xml:space="preserve"> størrelse</w:t>
      </w:r>
      <w:r w:rsidR="00DE0375" w:rsidRPr="00210087">
        <w:t>:</w:t>
      </w:r>
      <w:r w:rsidR="003C56F7" w:rsidRPr="00210087">
        <w:t xml:space="preserve"> </w:t>
      </w:r>
      <w:r w:rsidR="00907FA0" w:rsidRPr="00210087">
        <w:t xml:space="preserve">En stigning i </w:t>
      </w:r>
      <w:r w:rsidR="00DF5772" w:rsidRPr="00210087">
        <w:t>serviceniveauet</w:t>
      </w:r>
      <w:r w:rsidR="003C56F7" w:rsidRPr="00210087">
        <w:t xml:space="preserve"> </w:t>
      </w:r>
      <w:r w:rsidR="00907FA0" w:rsidRPr="00210087">
        <w:t>på 0,01</w:t>
      </w:r>
      <w:r w:rsidR="009B3E54" w:rsidRPr="00210087">
        <w:t>,</w:t>
      </w:r>
      <w:r w:rsidR="003C56F7" w:rsidRPr="00210087">
        <w:t xml:space="preserve"> </w:t>
      </w:r>
      <w:r w:rsidR="00DE0375" w:rsidRPr="00210087">
        <w:t>er associeret med</w:t>
      </w:r>
      <w:r w:rsidR="003C56F7" w:rsidRPr="00210087">
        <w:t xml:space="preserve"> en stigning i budgetoverskridelsen på </w:t>
      </w:r>
      <w:r w:rsidR="00907FA0" w:rsidRPr="00210087">
        <w:t>0,</w:t>
      </w:r>
      <w:r w:rsidR="003C56F7" w:rsidRPr="00210087">
        <w:t>16 pct</w:t>
      </w:r>
      <w:r w:rsidR="00DF5772" w:rsidRPr="00210087">
        <w:t>.</w:t>
      </w:r>
      <w:r w:rsidR="00907FA0" w:rsidRPr="00210087">
        <w:t xml:space="preserve"> point.</w:t>
      </w:r>
      <w:r w:rsidR="003C56F7" w:rsidRPr="00210087">
        <w:t xml:space="preserve"> (Figur 5: (1)). I denne fortolkning skal man selvfølgelig tage højde for, at serviceniveauet er et tal, som varierer begrænset blandt de forskellige kommuner. Serviceniveauet varierer fra 0,92 (Vejle) til 1,08 (Albertslund) i datasættet</w:t>
      </w:r>
      <w:r w:rsidR="00907FA0" w:rsidRPr="00210087">
        <w:t>, hvilket betyder, at en stigning på 0,01 er relativ stor</w:t>
      </w:r>
      <w:r w:rsidR="003C56F7" w:rsidRPr="00210087">
        <w:t xml:space="preserve">. </w:t>
      </w:r>
    </w:p>
    <w:p w:rsidR="00066A58" w:rsidRDefault="003C56F7" w:rsidP="005413B4">
      <w:r w:rsidRPr="00210087">
        <w:t>Endvidere kan det konkluderes, at den procentvise budgetoverskridelse i 2016 for nettodriftsudgifterne også har en signifikant</w:t>
      </w:r>
      <w:r w:rsidR="00191C57" w:rsidRPr="00210087">
        <w:t xml:space="preserve"> </w:t>
      </w:r>
      <w:r w:rsidR="009B3E54" w:rsidRPr="00210087">
        <w:t>positiv</w:t>
      </w:r>
      <w:r w:rsidRPr="00210087">
        <w:t xml:space="preserve"> b</w:t>
      </w:r>
      <w:r w:rsidR="00191C57" w:rsidRPr="00210087">
        <w:t>etydning for overskridelsen i 2017</w:t>
      </w:r>
      <w:r w:rsidRPr="00210087">
        <w:t xml:space="preserve">. </w:t>
      </w:r>
      <w:r w:rsidR="00907FA0" w:rsidRPr="00210087">
        <w:t>En overskridelse på 1 pct. point.</w:t>
      </w:r>
      <w:r w:rsidRPr="00210087">
        <w:t xml:space="preserve"> i 2016 medvirker til en overskridelse p</w:t>
      </w:r>
      <w:r w:rsidR="00F67C8A" w:rsidRPr="00210087">
        <w:t>å 0,15</w:t>
      </w:r>
      <w:r w:rsidRPr="00210087">
        <w:t xml:space="preserve"> pct.</w:t>
      </w:r>
      <w:r w:rsidR="00907FA0" w:rsidRPr="00210087">
        <w:t xml:space="preserve"> point</w:t>
      </w:r>
      <w:r w:rsidRPr="00210087">
        <w:t xml:space="preserve"> i 2017</w:t>
      </w:r>
      <w:r w:rsidR="009B3E54" w:rsidRPr="00210087">
        <w:t>, alt andet lige</w:t>
      </w:r>
      <w:r w:rsidRPr="00210087">
        <w:t xml:space="preserve"> (Figur 5: (2)). Denne effekt er mindre </w:t>
      </w:r>
      <w:r w:rsidR="00147FC7" w:rsidRPr="00210087">
        <w:t>signifikant end effekten for serviceniveauet. I den reducerede model ses det,</w:t>
      </w:r>
      <w:r w:rsidR="00647E57" w:rsidRPr="00210087">
        <w:t xml:space="preserve"> at effekten kun er signifikant </w:t>
      </w:r>
      <w:r w:rsidR="00147FC7" w:rsidRPr="00210087">
        <w:t xml:space="preserve">inden for et 10 pct. signifikansniveau. </w:t>
      </w:r>
    </w:p>
    <w:p w:rsidR="00B63F47" w:rsidRDefault="00180FCF" w:rsidP="005413B4">
      <w:r>
        <w:t>De direkte enkeltsammenhænge mellem overskridelse i 2017 og serviceniveau i året samt overskridelse i året forud er illustreret i figurerne 6 og 7.</w:t>
      </w:r>
    </w:p>
    <w:tbl>
      <w:tblPr>
        <w:tblStyle w:val="Tabel-Gitter"/>
        <w:tblW w:w="9472" w:type="dxa"/>
        <w:tblLayout w:type="fixed"/>
        <w:tblCellMar>
          <w:left w:w="0" w:type="dxa"/>
          <w:right w:w="0" w:type="dxa"/>
        </w:tblCellMar>
        <w:tblLook w:val="04A0" w:firstRow="1" w:lastRow="0" w:firstColumn="1" w:lastColumn="0" w:noHBand="0" w:noVBand="1"/>
      </w:tblPr>
      <w:tblGrid>
        <w:gridCol w:w="9472"/>
      </w:tblGrid>
      <w:tr w:rsidR="001B4328" w:rsidTr="00470072">
        <w:trPr>
          <w:cantSplit/>
          <w:trHeight w:hRule="exact" w:val="343"/>
        </w:trPr>
        <w:tc>
          <w:tcPr>
            <w:tcW w:w="9472" w:type="dxa"/>
            <w:shd w:val="clear" w:color="auto" w:fill="003865"/>
          </w:tcPr>
          <w:p w:rsidR="001B4328" w:rsidRDefault="001B4328" w:rsidP="005413B4">
            <w:r>
              <w:t xml:space="preserve">Figur </w:t>
            </w:r>
            <w:r w:rsidR="007A755D">
              <w:fldChar w:fldCharType="begin"/>
            </w:r>
            <w:r w:rsidR="007A755D">
              <w:instrText xml:space="preserve"> SEQ Figur \* ARAB</w:instrText>
            </w:r>
            <w:r w:rsidR="007A755D">
              <w:instrText xml:space="preserve">IC </w:instrText>
            </w:r>
            <w:r w:rsidR="007A755D">
              <w:fldChar w:fldCharType="separate"/>
            </w:r>
            <w:r w:rsidR="00470072">
              <w:rPr>
                <w:noProof/>
              </w:rPr>
              <w:t>6</w:t>
            </w:r>
            <w:r w:rsidR="007A755D">
              <w:rPr>
                <w:noProof/>
              </w:rPr>
              <w:fldChar w:fldCharType="end"/>
            </w:r>
            <w:r>
              <w:t xml:space="preserve">. </w:t>
            </w:r>
            <w:r>
              <w:rPr>
                <w:rFonts w:eastAsia="Times New Roman" w:cs="Calibri"/>
                <w:color w:val="FFFFFF"/>
                <w:lang w:eastAsia="da-DK"/>
              </w:rPr>
              <w:t>Sammenhængen mellem budgetoverskridelse i 2017 og serviceniveauet i 2017</w:t>
            </w:r>
          </w:p>
        </w:tc>
      </w:tr>
      <w:tr w:rsidR="001B4328" w:rsidTr="00470072">
        <w:trPr>
          <w:cantSplit/>
          <w:trHeight w:val="442"/>
        </w:trPr>
        <w:tc>
          <w:tcPr>
            <w:tcW w:w="9472" w:type="dxa"/>
          </w:tcPr>
          <w:p w:rsidR="001B4328" w:rsidRDefault="001B4328" w:rsidP="001B4328">
            <w:pPr>
              <w:pStyle w:val="Undertekstfigur"/>
            </w:pPr>
            <w:r w:rsidRPr="003336AC">
              <w:rPr>
                <w:rFonts w:ascii="Calibri" w:eastAsia="Times New Roman" w:hAnsi="Calibri" w:cs="Calibri"/>
                <w:noProof/>
                <w:color w:val="000000"/>
                <w:lang w:eastAsia="da-DK"/>
              </w:rPr>
              <w:lastRenderedPageBreak/>
              <w:drawing>
                <wp:inline distT="0" distB="0" distL="0" distR="0" wp14:anchorId="4C8AB6D2" wp14:editId="00946ABD">
                  <wp:extent cx="5890437" cy="4178300"/>
                  <wp:effectExtent l="0" t="0" r="0" b="0"/>
                  <wp:docPr id="3" name="Diagram 3">
                    <a:extLst xmlns:a="http://schemas.openxmlformats.org/drawingml/2006/main">
                      <a:ext uri="{FF2B5EF4-FFF2-40B4-BE49-F238E27FC236}">
                        <a16:creationId xmlns:a16="http://schemas.microsoft.com/office/drawing/2014/main" id="{96337E95-1073-40DE-887E-FF6BFBAFE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B4328" w:rsidRDefault="001B4328" w:rsidP="005413B4"/>
    <w:tbl>
      <w:tblPr>
        <w:tblStyle w:val="Tabel-Gitter"/>
        <w:tblW w:w="9339" w:type="dxa"/>
        <w:tblLayout w:type="fixed"/>
        <w:tblCellMar>
          <w:left w:w="0" w:type="dxa"/>
          <w:right w:w="0" w:type="dxa"/>
        </w:tblCellMar>
        <w:tblLook w:val="04A0" w:firstRow="1" w:lastRow="0" w:firstColumn="1" w:lastColumn="0" w:noHBand="0" w:noVBand="1"/>
      </w:tblPr>
      <w:tblGrid>
        <w:gridCol w:w="9339"/>
      </w:tblGrid>
      <w:tr w:rsidR="001B4328" w:rsidTr="00470072">
        <w:trPr>
          <w:cantSplit/>
          <w:trHeight w:hRule="exact" w:val="313"/>
        </w:trPr>
        <w:tc>
          <w:tcPr>
            <w:tcW w:w="9339" w:type="dxa"/>
            <w:shd w:val="clear" w:color="auto" w:fill="003865"/>
          </w:tcPr>
          <w:p w:rsidR="001B4328" w:rsidRDefault="001B4328" w:rsidP="005413B4">
            <w:r>
              <w:t xml:space="preserve">Figur </w:t>
            </w:r>
            <w:r w:rsidR="007A755D">
              <w:fldChar w:fldCharType="begin"/>
            </w:r>
            <w:r w:rsidR="007A755D">
              <w:instrText xml:space="preserve"> SEQ Figur \* ARABIC </w:instrText>
            </w:r>
            <w:r w:rsidR="007A755D">
              <w:fldChar w:fldCharType="separate"/>
            </w:r>
            <w:r w:rsidR="00470072">
              <w:rPr>
                <w:noProof/>
              </w:rPr>
              <w:t>7</w:t>
            </w:r>
            <w:r w:rsidR="007A755D">
              <w:rPr>
                <w:noProof/>
              </w:rPr>
              <w:fldChar w:fldCharType="end"/>
            </w:r>
            <w:r w:rsidR="00470072">
              <w:t xml:space="preserve">. </w:t>
            </w:r>
            <w:r w:rsidR="00470072" w:rsidRPr="00470072">
              <w:t>Kommunernes budgetoverskridelser målt på nettodriftsudgifter, 2016 og 2017</w:t>
            </w:r>
          </w:p>
        </w:tc>
      </w:tr>
      <w:tr w:rsidR="001B4328" w:rsidTr="00470072">
        <w:trPr>
          <w:cantSplit/>
          <w:trHeight w:val="402"/>
        </w:trPr>
        <w:tc>
          <w:tcPr>
            <w:tcW w:w="9339" w:type="dxa"/>
          </w:tcPr>
          <w:p w:rsidR="00470072" w:rsidRDefault="00470072" w:rsidP="001B4328">
            <w:r w:rsidRPr="003336AC">
              <w:rPr>
                <w:rFonts w:ascii="Calibri" w:eastAsia="Times New Roman" w:hAnsi="Calibri" w:cs="Calibri"/>
                <w:noProof/>
                <w:color w:val="000000"/>
                <w:lang w:eastAsia="da-DK"/>
              </w:rPr>
              <w:lastRenderedPageBreak/>
              <w:drawing>
                <wp:inline distT="0" distB="0" distL="0" distR="0" wp14:anchorId="0F7D07A5">
                  <wp:extent cx="5932967" cy="3837305"/>
                  <wp:effectExtent l="0" t="0" r="0" b="0"/>
                  <wp:docPr id="1" name="Diagram 1">
                    <a:extLst xmlns:a="http://schemas.openxmlformats.org/drawingml/2006/main">
                      <a:ext uri="{FF2B5EF4-FFF2-40B4-BE49-F238E27FC236}">
                        <a16:creationId xmlns:a16="http://schemas.microsoft.com/office/drawing/2014/main" id="{87490BB7-8430-4F2D-AD05-D39C02A6E1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4328" w:rsidRDefault="001B4328" w:rsidP="001B4328">
            <w:pPr>
              <w:pStyle w:val="Undertekstfigur"/>
            </w:pPr>
          </w:p>
        </w:tc>
      </w:tr>
    </w:tbl>
    <w:p w:rsidR="00470072" w:rsidRDefault="00470072" w:rsidP="005413B4"/>
    <w:p w:rsidR="00470072" w:rsidRDefault="00470072">
      <w:pPr>
        <w:spacing w:after="200"/>
      </w:pPr>
      <w:r>
        <w:br w:type="page"/>
      </w:r>
    </w:p>
    <w:tbl>
      <w:tblPr>
        <w:tblW w:w="9151" w:type="dxa"/>
        <w:tblInd w:w="55" w:type="dxa"/>
        <w:tblCellMar>
          <w:left w:w="70" w:type="dxa"/>
          <w:right w:w="70" w:type="dxa"/>
        </w:tblCellMar>
        <w:tblLook w:val="04A0" w:firstRow="1" w:lastRow="0" w:firstColumn="1" w:lastColumn="0" w:noHBand="0" w:noVBand="1"/>
      </w:tblPr>
      <w:tblGrid>
        <w:gridCol w:w="2035"/>
        <w:gridCol w:w="1779"/>
        <w:gridCol w:w="1779"/>
        <w:gridCol w:w="1779"/>
        <w:gridCol w:w="1779"/>
      </w:tblGrid>
      <w:tr w:rsidR="00DE0375" w:rsidRPr="009B6A5B" w:rsidTr="00470072">
        <w:trPr>
          <w:trHeight w:val="234"/>
        </w:trPr>
        <w:tc>
          <w:tcPr>
            <w:tcW w:w="9151" w:type="dxa"/>
            <w:gridSpan w:val="5"/>
            <w:tcBorders>
              <w:top w:val="single" w:sz="4" w:space="0" w:color="auto"/>
              <w:left w:val="single" w:sz="4" w:space="0" w:color="auto"/>
              <w:bottom w:val="single" w:sz="4" w:space="0" w:color="auto"/>
              <w:right w:val="single" w:sz="4" w:space="0" w:color="auto"/>
            </w:tcBorders>
            <w:shd w:val="clear" w:color="000000" w:fill="003865"/>
            <w:vAlign w:val="center"/>
            <w:hideMark/>
          </w:tcPr>
          <w:p w:rsidR="00DE0375" w:rsidRPr="009B6A5B" w:rsidRDefault="00DE0375" w:rsidP="00C8132C">
            <w:pPr>
              <w:spacing w:after="0" w:line="240" w:lineRule="auto"/>
              <w:rPr>
                <w:rFonts w:eastAsia="Times New Roman" w:cs="Calibri"/>
                <w:bCs/>
                <w:color w:val="FFFFFF"/>
                <w:sz w:val="24"/>
                <w:szCs w:val="24"/>
                <w:lang w:eastAsia="da-DK"/>
              </w:rPr>
            </w:pPr>
            <w:r w:rsidRPr="009B6A5B">
              <w:rPr>
                <w:rFonts w:eastAsia="Times New Roman" w:cs="Calibri"/>
                <w:bCs/>
                <w:color w:val="FFFFFF"/>
                <w:sz w:val="24"/>
                <w:szCs w:val="24"/>
                <w:lang w:eastAsia="da-DK"/>
              </w:rPr>
              <w:lastRenderedPageBreak/>
              <w:t>Figur</w:t>
            </w:r>
            <w:r w:rsidR="00470072">
              <w:rPr>
                <w:rFonts w:eastAsia="Times New Roman" w:cs="Calibri"/>
                <w:bCs/>
                <w:color w:val="FFFFFF"/>
                <w:sz w:val="24"/>
                <w:szCs w:val="24"/>
                <w:lang w:eastAsia="da-DK"/>
              </w:rPr>
              <w:t xml:space="preserve"> </w:t>
            </w:r>
            <w:r w:rsidR="007A755D">
              <w:fldChar w:fldCharType="begin"/>
            </w:r>
            <w:r w:rsidR="007A755D">
              <w:instrText xml:space="preserve"> SEQ Figur \* ARABIC </w:instrText>
            </w:r>
            <w:r w:rsidR="007A755D">
              <w:fldChar w:fldCharType="separate"/>
            </w:r>
            <w:r w:rsidR="00470072">
              <w:rPr>
                <w:noProof/>
              </w:rPr>
              <w:t>8</w:t>
            </w:r>
            <w:r w:rsidR="007A755D">
              <w:rPr>
                <w:noProof/>
              </w:rPr>
              <w:fldChar w:fldCharType="end"/>
            </w:r>
            <w:r w:rsidRPr="009B6A5B">
              <w:rPr>
                <w:rFonts w:eastAsia="Times New Roman" w:cs="Calibri"/>
                <w:bCs/>
                <w:color w:val="FFFFFF"/>
                <w:sz w:val="24"/>
                <w:szCs w:val="24"/>
                <w:lang w:eastAsia="da-DK"/>
              </w:rPr>
              <w:t>. Forklaring af kommunernes budgetoverskridelser målt på serviceudgifter i 2017</w:t>
            </w:r>
          </w:p>
        </w:tc>
      </w:tr>
      <w:tr w:rsidR="00DE0375" w:rsidRPr="009B6A5B" w:rsidTr="00470072">
        <w:trPr>
          <w:trHeight w:val="70"/>
        </w:trPr>
        <w:tc>
          <w:tcPr>
            <w:tcW w:w="2035" w:type="dxa"/>
            <w:tcBorders>
              <w:top w:val="single" w:sz="4" w:space="0" w:color="auto"/>
              <w:left w:val="single" w:sz="4" w:space="0" w:color="auto"/>
              <w:bottom w:val="nil"/>
              <w:right w:val="nil"/>
            </w:tcBorders>
            <w:shd w:val="clear" w:color="000000" w:fill="FFFFFF"/>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single" w:sz="4" w:space="0" w:color="auto"/>
              <w:left w:val="nil"/>
              <w:bottom w:val="nil"/>
              <w:right w:val="nil"/>
            </w:tcBorders>
            <w:shd w:val="clear" w:color="000000" w:fill="FFFFFF"/>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single" w:sz="4" w:space="0" w:color="auto"/>
              <w:left w:val="nil"/>
              <w:bottom w:val="nil"/>
              <w:right w:val="nil"/>
            </w:tcBorders>
            <w:shd w:val="clear" w:color="000000" w:fill="FFFFFF"/>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single" w:sz="4" w:space="0" w:color="auto"/>
              <w:left w:val="nil"/>
              <w:bottom w:val="nil"/>
              <w:right w:val="nil"/>
            </w:tcBorders>
            <w:shd w:val="clear" w:color="000000" w:fill="FFFFFF"/>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single" w:sz="4" w:space="0" w:color="auto"/>
              <w:left w:val="nil"/>
              <w:bottom w:val="nil"/>
              <w:right w:val="single" w:sz="4" w:space="0" w:color="auto"/>
            </w:tcBorders>
            <w:shd w:val="clear" w:color="000000" w:fill="FFFFFF"/>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(1)</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(2)</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(3)</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(4)</w:t>
            </w:r>
          </w:p>
        </w:tc>
      </w:tr>
      <w:tr w:rsidR="00DE0375" w:rsidRPr="009B6A5B" w:rsidTr="00470072">
        <w:trPr>
          <w:trHeight w:val="28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VARIABLE</w:t>
            </w:r>
          </w:p>
        </w:tc>
        <w:tc>
          <w:tcPr>
            <w:tcW w:w="1779" w:type="dxa"/>
            <w:tcBorders>
              <w:top w:val="nil"/>
              <w:left w:val="nil"/>
              <w:bottom w:val="nil"/>
              <w:right w:val="nil"/>
            </w:tcBorders>
            <w:shd w:val="clear" w:color="000000" w:fill="FFFFFF"/>
            <w:vAlign w:val="bottom"/>
            <w:hideMark/>
          </w:tcPr>
          <w:p w:rsidR="00DE0375" w:rsidRPr="009B6A5B" w:rsidRDefault="00DE0375" w:rsidP="00C8132C">
            <w:pPr>
              <w:spacing w:after="0" w:line="240" w:lineRule="auto"/>
              <w:jc w:val="center"/>
              <w:rPr>
                <w:rFonts w:eastAsia="Times New Roman" w:cs="Calibri"/>
                <w:sz w:val="20"/>
                <w:szCs w:val="20"/>
                <w:lang w:eastAsia="da-DK"/>
              </w:rPr>
            </w:pPr>
            <w:proofErr w:type="spellStart"/>
            <w:r w:rsidRPr="009B6A5B">
              <w:rPr>
                <w:rFonts w:eastAsia="Times New Roman" w:cs="Calibri"/>
                <w:sz w:val="20"/>
                <w:szCs w:val="20"/>
                <w:lang w:eastAsia="da-DK"/>
              </w:rPr>
              <w:t>Probit</w:t>
            </w:r>
            <w:proofErr w:type="spellEnd"/>
            <w:r w:rsidRPr="009B6A5B">
              <w:rPr>
                <w:rFonts w:eastAsia="Times New Roman" w:cs="Calibri"/>
                <w:sz w:val="20"/>
                <w:szCs w:val="20"/>
                <w:lang w:eastAsia="da-DK"/>
              </w:rPr>
              <w:t xml:space="preserve"> model - Fuld model</w:t>
            </w:r>
          </w:p>
        </w:tc>
        <w:tc>
          <w:tcPr>
            <w:tcW w:w="1779" w:type="dxa"/>
            <w:tcBorders>
              <w:top w:val="nil"/>
              <w:left w:val="nil"/>
              <w:bottom w:val="nil"/>
              <w:right w:val="nil"/>
            </w:tcBorders>
            <w:shd w:val="clear" w:color="000000" w:fill="FFFFFF"/>
            <w:vAlign w:val="bottom"/>
            <w:hideMark/>
          </w:tcPr>
          <w:p w:rsidR="00432A58" w:rsidRDefault="00432A58" w:rsidP="00432A58">
            <w:pPr>
              <w:spacing w:after="0" w:line="240" w:lineRule="auto"/>
              <w:rPr>
                <w:rFonts w:eastAsia="Times New Roman" w:cs="Calibri"/>
                <w:sz w:val="20"/>
                <w:szCs w:val="20"/>
                <w:lang w:eastAsia="da-DK"/>
              </w:rPr>
            </w:pPr>
            <w:r>
              <w:rPr>
                <w:rFonts w:eastAsia="Times New Roman" w:cs="Calibri"/>
                <w:sz w:val="20"/>
                <w:szCs w:val="20"/>
                <w:lang w:eastAsia="da-DK"/>
              </w:rPr>
              <w:t>Gennemsnitlige</w:t>
            </w:r>
          </w:p>
          <w:p w:rsidR="00DE0375" w:rsidRPr="009B6A5B" w:rsidRDefault="00432A58" w:rsidP="00432A58">
            <w:pPr>
              <w:spacing w:after="0" w:line="240" w:lineRule="auto"/>
              <w:rPr>
                <w:rFonts w:eastAsia="Times New Roman" w:cs="Calibri"/>
                <w:sz w:val="20"/>
                <w:szCs w:val="20"/>
                <w:lang w:eastAsia="da-DK"/>
              </w:rPr>
            </w:pPr>
            <w:r>
              <w:rPr>
                <w:rFonts w:eastAsia="Times New Roman" w:cs="Calibri"/>
                <w:sz w:val="20"/>
                <w:szCs w:val="20"/>
                <w:lang w:eastAsia="da-DK"/>
              </w:rPr>
              <w:t>m</w:t>
            </w:r>
            <w:r w:rsidR="00DE0375" w:rsidRPr="009B6A5B">
              <w:rPr>
                <w:rFonts w:eastAsia="Times New Roman" w:cs="Calibri"/>
                <w:sz w:val="20"/>
                <w:szCs w:val="20"/>
                <w:lang w:eastAsia="da-DK"/>
              </w:rPr>
              <w:t>arginale effekter - Fuld model</w:t>
            </w:r>
          </w:p>
        </w:tc>
        <w:tc>
          <w:tcPr>
            <w:tcW w:w="1779" w:type="dxa"/>
            <w:tcBorders>
              <w:top w:val="nil"/>
              <w:left w:val="nil"/>
              <w:bottom w:val="nil"/>
              <w:right w:val="nil"/>
            </w:tcBorders>
            <w:shd w:val="clear" w:color="000000" w:fill="FFFFFF"/>
            <w:vAlign w:val="bottom"/>
            <w:hideMark/>
          </w:tcPr>
          <w:p w:rsidR="00DE0375" w:rsidRPr="009B6A5B" w:rsidRDefault="00DE0375" w:rsidP="00C8132C">
            <w:pPr>
              <w:spacing w:after="0" w:line="240" w:lineRule="auto"/>
              <w:jc w:val="center"/>
              <w:rPr>
                <w:rFonts w:eastAsia="Times New Roman" w:cs="Calibri"/>
                <w:sz w:val="20"/>
                <w:szCs w:val="20"/>
                <w:lang w:eastAsia="da-DK"/>
              </w:rPr>
            </w:pPr>
            <w:proofErr w:type="spellStart"/>
            <w:r w:rsidRPr="009B6A5B">
              <w:rPr>
                <w:rFonts w:eastAsia="Times New Roman" w:cs="Calibri"/>
                <w:sz w:val="20"/>
                <w:szCs w:val="20"/>
                <w:lang w:eastAsia="da-DK"/>
              </w:rPr>
              <w:t>Probit</w:t>
            </w:r>
            <w:proofErr w:type="spellEnd"/>
            <w:r w:rsidRPr="009B6A5B">
              <w:rPr>
                <w:rFonts w:eastAsia="Times New Roman" w:cs="Calibri"/>
                <w:sz w:val="20"/>
                <w:szCs w:val="20"/>
                <w:lang w:eastAsia="da-DK"/>
              </w:rPr>
              <w:t xml:space="preserve"> model - Reduceret model</w:t>
            </w:r>
          </w:p>
        </w:tc>
        <w:tc>
          <w:tcPr>
            <w:tcW w:w="1779" w:type="dxa"/>
            <w:tcBorders>
              <w:top w:val="nil"/>
              <w:left w:val="nil"/>
              <w:bottom w:val="nil"/>
              <w:right w:val="single" w:sz="4" w:space="0" w:color="auto"/>
            </w:tcBorders>
            <w:shd w:val="clear" w:color="000000" w:fill="FFFFFF"/>
            <w:vAlign w:val="bottom"/>
            <w:hideMark/>
          </w:tcPr>
          <w:p w:rsidR="00432A58" w:rsidRDefault="00432A58" w:rsidP="00C8132C">
            <w:pPr>
              <w:spacing w:after="0" w:line="240" w:lineRule="auto"/>
              <w:jc w:val="center"/>
              <w:rPr>
                <w:rFonts w:eastAsia="Times New Roman" w:cs="Calibri"/>
                <w:sz w:val="20"/>
                <w:szCs w:val="20"/>
                <w:lang w:eastAsia="da-DK"/>
              </w:rPr>
            </w:pPr>
            <w:r>
              <w:rPr>
                <w:rFonts w:eastAsia="Times New Roman" w:cs="Calibri"/>
                <w:sz w:val="20"/>
                <w:szCs w:val="20"/>
                <w:lang w:eastAsia="da-DK"/>
              </w:rPr>
              <w:t>Gennemsnitlige</w:t>
            </w:r>
          </w:p>
          <w:p w:rsidR="00DE0375" w:rsidRPr="009B6A5B" w:rsidRDefault="00432A58" w:rsidP="00C8132C">
            <w:pPr>
              <w:spacing w:after="0" w:line="240" w:lineRule="auto"/>
              <w:jc w:val="center"/>
              <w:rPr>
                <w:rFonts w:eastAsia="Times New Roman" w:cs="Calibri"/>
                <w:sz w:val="20"/>
                <w:szCs w:val="20"/>
                <w:lang w:eastAsia="da-DK"/>
              </w:rPr>
            </w:pPr>
            <w:r>
              <w:rPr>
                <w:rFonts w:eastAsia="Times New Roman" w:cs="Calibri"/>
                <w:sz w:val="20"/>
                <w:szCs w:val="20"/>
                <w:lang w:eastAsia="da-DK"/>
              </w:rPr>
              <w:t>m</w:t>
            </w:r>
            <w:r w:rsidR="00DE0375" w:rsidRPr="009B6A5B">
              <w:rPr>
                <w:rFonts w:eastAsia="Times New Roman" w:cs="Calibri"/>
                <w:sz w:val="20"/>
                <w:szCs w:val="20"/>
                <w:lang w:eastAsia="da-DK"/>
              </w:rPr>
              <w:t>arginale effekter - Reduceret model</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Socioøkonomisk indeks</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1,489*</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0,444*</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(0,805)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(0,228)</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Borgmester</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0,206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0,061</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(0,334)</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(0,099)</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proofErr w:type="spellStart"/>
            <w:r w:rsidRPr="009B6A5B">
              <w:rPr>
                <w:rFonts w:eastAsia="Times New Roman" w:cs="Calibri"/>
                <w:sz w:val="20"/>
                <w:szCs w:val="20"/>
                <w:lang w:eastAsia="da-DK"/>
              </w:rPr>
              <w:t>Herfindahlindeks</w:t>
            </w:r>
            <w:proofErr w:type="spellEnd"/>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-0,0135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-0,004</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(0,0269)</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(0,008)</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Ændring i ledighed</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0,026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0,008</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(0,586)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(0,175)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Indbyggertal</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-0,003</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-0,001</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(0,284)</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(0,085)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proofErr w:type="spellStart"/>
            <w:r w:rsidRPr="009B6A5B">
              <w:rPr>
                <w:rFonts w:eastAsia="Times New Roman" w:cs="Calibri"/>
                <w:sz w:val="20"/>
                <w:szCs w:val="20"/>
                <w:lang w:eastAsia="da-DK"/>
              </w:rPr>
              <w:t>Udskrivningspct</w:t>
            </w:r>
            <w:proofErr w:type="spellEnd"/>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-0,251</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-0,075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(0,210)</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(0,061)</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Serviceniveau</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0,192***</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0,057***</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0,159***</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0,05</w:t>
            </w:r>
            <w:r w:rsidR="00681871">
              <w:rPr>
                <w:rFonts w:eastAsia="Times New Roman" w:cs="Calibri"/>
                <w:sz w:val="20"/>
                <w:szCs w:val="20"/>
                <w:lang w:eastAsia="da-DK"/>
              </w:rPr>
              <w:t>0</w:t>
            </w:r>
            <w:r w:rsidRPr="009B6A5B">
              <w:rPr>
                <w:rFonts w:eastAsia="Times New Roman" w:cs="Calibri"/>
                <w:sz w:val="20"/>
                <w:szCs w:val="20"/>
                <w:lang w:eastAsia="da-DK"/>
              </w:rPr>
              <w:t>***</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(0,0640)</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(0,016)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(0,0492)</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(0,013)</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Overskridelse i 2016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0,980***</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0,292***</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0,944***</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0,296***</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(0,366)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(0,096)</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(0,333)</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(0,09)</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Konstant</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-14,79**</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-16,67***</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(7,095)</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(5,010)</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bottom w:val="nil"/>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c>
          <w:tcPr>
            <w:tcW w:w="1779" w:type="dxa"/>
            <w:tcBorders>
              <w:top w:val="nil"/>
              <w:left w:val="nil"/>
              <w:bottom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 </w:t>
            </w:r>
          </w:p>
        </w:tc>
      </w:tr>
      <w:tr w:rsidR="00DE0375" w:rsidRPr="009B6A5B" w:rsidTr="00470072">
        <w:trPr>
          <w:trHeight w:val="147"/>
        </w:trPr>
        <w:tc>
          <w:tcPr>
            <w:tcW w:w="2035" w:type="dxa"/>
            <w:tcBorders>
              <w:top w:val="nil"/>
              <w:left w:val="single" w:sz="4" w:space="0" w:color="auto"/>
              <w:right w:val="nil"/>
            </w:tcBorders>
            <w:shd w:val="clear" w:color="000000" w:fill="FFFFFF"/>
            <w:noWrap/>
            <w:vAlign w:val="bottom"/>
            <w:hideMark/>
          </w:tcPr>
          <w:p w:rsidR="00DE0375" w:rsidRPr="009B6A5B" w:rsidRDefault="00DE0375" w:rsidP="00C8132C">
            <w:pPr>
              <w:spacing w:after="0" w:line="240" w:lineRule="auto"/>
              <w:rPr>
                <w:rFonts w:eastAsia="Times New Roman" w:cs="Calibri"/>
                <w:sz w:val="20"/>
                <w:szCs w:val="20"/>
                <w:lang w:eastAsia="da-DK"/>
              </w:rPr>
            </w:pPr>
            <w:r w:rsidRPr="009B6A5B">
              <w:rPr>
                <w:rFonts w:eastAsia="Times New Roman" w:cs="Calibri"/>
                <w:sz w:val="20"/>
                <w:szCs w:val="20"/>
                <w:lang w:eastAsia="da-DK"/>
              </w:rPr>
              <w:t>Observationer</w:t>
            </w:r>
          </w:p>
        </w:tc>
        <w:tc>
          <w:tcPr>
            <w:tcW w:w="1779" w:type="dxa"/>
            <w:tcBorders>
              <w:top w:val="nil"/>
              <w:left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c>
          <w:tcPr>
            <w:tcW w:w="1779" w:type="dxa"/>
            <w:tcBorders>
              <w:top w:val="nil"/>
              <w:left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c>
          <w:tcPr>
            <w:tcW w:w="1779" w:type="dxa"/>
            <w:tcBorders>
              <w:top w:val="nil"/>
              <w:left w:val="nil"/>
              <w:right w:val="nil"/>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c>
          <w:tcPr>
            <w:tcW w:w="1779" w:type="dxa"/>
            <w:tcBorders>
              <w:top w:val="nil"/>
              <w:left w:val="nil"/>
              <w:right w:val="single" w:sz="4" w:space="0" w:color="auto"/>
            </w:tcBorders>
            <w:shd w:val="clear" w:color="000000" w:fill="FFFFFF"/>
            <w:noWrap/>
            <w:vAlign w:val="bottom"/>
            <w:hideMark/>
          </w:tcPr>
          <w:p w:rsidR="00DE0375" w:rsidRPr="009B6A5B" w:rsidRDefault="00DE0375" w:rsidP="00C8132C">
            <w:pPr>
              <w:spacing w:after="0" w:line="240" w:lineRule="auto"/>
              <w:jc w:val="center"/>
              <w:rPr>
                <w:rFonts w:eastAsia="Times New Roman" w:cs="Calibri"/>
                <w:sz w:val="20"/>
                <w:szCs w:val="20"/>
                <w:lang w:eastAsia="da-DK"/>
              </w:rPr>
            </w:pPr>
            <w:r w:rsidRPr="009B6A5B">
              <w:rPr>
                <w:rFonts w:eastAsia="Times New Roman" w:cs="Calibri"/>
                <w:sz w:val="20"/>
                <w:szCs w:val="20"/>
                <w:lang w:eastAsia="da-DK"/>
              </w:rPr>
              <w:t>93</w:t>
            </w:r>
          </w:p>
        </w:tc>
      </w:tr>
      <w:tr w:rsidR="00DE0375" w:rsidRPr="009B6A5B" w:rsidTr="00470072">
        <w:trPr>
          <w:trHeight w:val="287"/>
        </w:trPr>
        <w:tc>
          <w:tcPr>
            <w:tcW w:w="9151" w:type="dxa"/>
            <w:gridSpan w:val="5"/>
            <w:tcBorders>
              <w:top w:val="nil"/>
              <w:left w:val="single" w:sz="4" w:space="0" w:color="auto"/>
              <w:bottom w:val="single" w:sz="4" w:space="0" w:color="auto"/>
              <w:right w:val="single" w:sz="4" w:space="0" w:color="auto"/>
            </w:tcBorders>
            <w:shd w:val="clear" w:color="000000" w:fill="FFFFFF"/>
            <w:vAlign w:val="bottom"/>
            <w:hideMark/>
          </w:tcPr>
          <w:p w:rsidR="00DE0375" w:rsidRPr="009B6A5B" w:rsidRDefault="00DE0375" w:rsidP="00C8132C">
            <w:pPr>
              <w:spacing w:after="0" w:line="240" w:lineRule="auto"/>
              <w:rPr>
                <w:rFonts w:eastAsia="Times New Roman" w:cs="Calibri"/>
                <w:i/>
                <w:iCs/>
                <w:sz w:val="19"/>
                <w:szCs w:val="19"/>
                <w:lang w:eastAsia="da-DK"/>
              </w:rPr>
            </w:pPr>
            <w:r w:rsidRPr="009B6A5B">
              <w:rPr>
                <w:rFonts w:eastAsia="Times New Roman" w:cs="Calibri"/>
                <w:i/>
                <w:iCs/>
                <w:sz w:val="19"/>
                <w:szCs w:val="19"/>
                <w:lang w:eastAsia="da-DK"/>
              </w:rPr>
              <w:t>Anm: Ved brug af den procentvise overskridelse ift. de budgetterede serviceudgifter som den afhængige variable fås samme konklusione</w:t>
            </w:r>
            <w:r w:rsidR="00470072">
              <w:rPr>
                <w:rFonts w:eastAsia="Times New Roman" w:cs="Calibri"/>
                <w:i/>
                <w:iCs/>
                <w:sz w:val="19"/>
                <w:szCs w:val="19"/>
                <w:lang w:eastAsia="da-DK"/>
              </w:rPr>
              <w:t xml:space="preserve">r. </w:t>
            </w:r>
            <w:r w:rsidR="00470072" w:rsidRPr="00470072">
              <w:rPr>
                <w:rFonts w:eastAsia="Times New Roman" w:cs="Calibri"/>
                <w:i/>
                <w:iCs/>
                <w:sz w:val="19"/>
                <w:szCs w:val="19"/>
                <w:lang w:eastAsia="da-DK"/>
              </w:rPr>
              <w:t>Standard fejl i parentes</w:t>
            </w:r>
            <w:r w:rsidR="00470072">
              <w:rPr>
                <w:rFonts w:eastAsia="Times New Roman" w:cs="Calibri"/>
                <w:i/>
                <w:iCs/>
                <w:sz w:val="19"/>
                <w:szCs w:val="19"/>
                <w:lang w:eastAsia="da-DK"/>
              </w:rPr>
              <w:t xml:space="preserve">. </w:t>
            </w:r>
            <w:r w:rsidR="00470072" w:rsidRPr="009B6A5B">
              <w:rPr>
                <w:rFonts w:eastAsia="Times New Roman" w:cs="Calibri"/>
                <w:i/>
                <w:iCs/>
                <w:sz w:val="19"/>
                <w:szCs w:val="19"/>
                <w:lang w:eastAsia="da-DK"/>
              </w:rPr>
              <w:t>*** p&lt;0,01; ** p&lt;0,05; * p&lt;0,1</w:t>
            </w:r>
            <w:r w:rsidR="00470072">
              <w:rPr>
                <w:rFonts w:eastAsia="Times New Roman" w:cs="Calibri"/>
                <w:i/>
                <w:iCs/>
                <w:sz w:val="19"/>
                <w:szCs w:val="19"/>
                <w:lang w:eastAsia="da-DK"/>
              </w:rPr>
              <w:t xml:space="preserve">. </w:t>
            </w:r>
            <w:r w:rsidR="00470072">
              <w:rPr>
                <w:rFonts w:eastAsia="Times New Roman" w:cs="Calibri"/>
                <w:i/>
                <w:iCs/>
                <w:sz w:val="19"/>
                <w:szCs w:val="19"/>
                <w:lang w:eastAsia="da-DK"/>
              </w:rPr>
              <w:br/>
            </w:r>
            <w:r w:rsidR="00470072" w:rsidRPr="00470072">
              <w:rPr>
                <w:rFonts w:eastAsia="Times New Roman" w:cs="Calibri"/>
                <w:i/>
                <w:iCs/>
                <w:sz w:val="19"/>
                <w:szCs w:val="19"/>
                <w:lang w:eastAsia="da-DK"/>
              </w:rPr>
              <w:t>Kilde:</w:t>
            </w:r>
            <w:proofErr w:type="gramStart"/>
            <w:r w:rsidR="00470072" w:rsidRPr="00470072">
              <w:rPr>
                <w:rFonts w:eastAsia="Times New Roman" w:cs="Calibri"/>
                <w:i/>
                <w:iCs/>
                <w:sz w:val="19"/>
                <w:szCs w:val="19"/>
                <w:lang w:eastAsia="da-DK"/>
              </w:rPr>
              <w:t>noegletal.dk,dst.dk</w:t>
            </w:r>
            <w:proofErr w:type="gramEnd"/>
          </w:p>
        </w:tc>
      </w:tr>
    </w:tbl>
    <w:p w:rsidR="006E63A6" w:rsidRPr="00210087" w:rsidRDefault="00470072" w:rsidP="00470072">
      <w:r>
        <w:br/>
      </w:r>
      <w:r w:rsidR="00B17D97" w:rsidRPr="00210087">
        <w:t xml:space="preserve">I figur </w:t>
      </w:r>
      <w:r w:rsidR="00180FCF">
        <w:t>8</w:t>
      </w:r>
      <w:r w:rsidR="00B17D97" w:rsidRPr="00210087">
        <w:t xml:space="preserve"> undersøges </w:t>
      </w:r>
      <w:r w:rsidR="009B3E54" w:rsidRPr="00210087">
        <w:t xml:space="preserve">det, </w:t>
      </w:r>
      <w:r w:rsidR="00B17D97" w:rsidRPr="00210087">
        <w:t xml:space="preserve">hvad der påvirker </w:t>
      </w:r>
      <w:r w:rsidR="00B17D97" w:rsidRPr="00546579">
        <w:rPr>
          <w:i/>
        </w:rPr>
        <w:t>sandsynligheden</w:t>
      </w:r>
      <w:r w:rsidR="00B17D97" w:rsidRPr="00210087">
        <w:t xml:space="preserve"> for</w:t>
      </w:r>
      <w:r w:rsidR="009B3E54" w:rsidRPr="00210087">
        <w:t>, at</w:t>
      </w:r>
      <w:r w:rsidR="00B17D97" w:rsidRPr="00210087">
        <w:t xml:space="preserve"> kommune</w:t>
      </w:r>
      <w:r w:rsidR="009B3E54" w:rsidRPr="00210087">
        <w:t>rne overskrider deres budgetter for serviceudgifterne.</w:t>
      </w:r>
      <w:r w:rsidR="00191C57" w:rsidRPr="00210087">
        <w:t xml:space="preserve"> Dette testes vha. af en </w:t>
      </w:r>
      <w:proofErr w:type="spellStart"/>
      <w:r w:rsidR="00191C57" w:rsidRPr="00210087">
        <w:t>probit</w:t>
      </w:r>
      <w:proofErr w:type="spellEnd"/>
      <w:r w:rsidR="00191C57" w:rsidRPr="00210087">
        <w:t>-</w:t>
      </w:r>
      <w:r w:rsidR="00907FA0" w:rsidRPr="00210087">
        <w:t xml:space="preserve">model. Som afhængig variabel bruges en </w:t>
      </w:r>
      <w:proofErr w:type="gramStart"/>
      <w:r w:rsidR="00B17D97" w:rsidRPr="00210087">
        <w:t>dummyvariable</w:t>
      </w:r>
      <w:proofErr w:type="gramEnd"/>
      <w:r w:rsidR="00B17D97" w:rsidRPr="00210087">
        <w:t>, som tager værdien 1, hvis den pågældende kommune overskrider budgettet for serviceudgifterne</w:t>
      </w:r>
      <w:r w:rsidR="00907FA0" w:rsidRPr="00210087">
        <w:t xml:space="preserve"> i 2017</w:t>
      </w:r>
      <w:r w:rsidR="00B17D97" w:rsidRPr="00210087">
        <w:t xml:space="preserve">. </w:t>
      </w:r>
      <w:r w:rsidR="00DE0375" w:rsidRPr="00210087">
        <w:t xml:space="preserve">Da </w:t>
      </w:r>
      <w:proofErr w:type="spellStart"/>
      <w:r w:rsidR="00DE0375" w:rsidRPr="00210087">
        <w:t>probit</w:t>
      </w:r>
      <w:proofErr w:type="spellEnd"/>
      <w:r w:rsidR="00DE0375" w:rsidRPr="00210087">
        <w:t>-modellen er en ikke-lineær model, vil effekten for hver af de forklarende variabl</w:t>
      </w:r>
      <w:r w:rsidR="006D3DA1" w:rsidRPr="00210087">
        <w:t>e</w:t>
      </w:r>
      <w:r w:rsidR="00DE0375" w:rsidRPr="00210087">
        <w:t xml:space="preserve"> variere fra </w:t>
      </w:r>
      <w:r w:rsidR="00681871" w:rsidRPr="00210087">
        <w:t>kommune</w:t>
      </w:r>
      <w:r w:rsidR="00DE0375" w:rsidRPr="00210087">
        <w:t xml:space="preserve"> til </w:t>
      </w:r>
      <w:r w:rsidR="00681871" w:rsidRPr="00210087">
        <w:t>kommune</w:t>
      </w:r>
      <w:r w:rsidR="00DE0375" w:rsidRPr="00210087">
        <w:t xml:space="preserve">. Dette gør koefficienterne </w:t>
      </w:r>
      <w:r w:rsidR="00B17D97" w:rsidRPr="00210087">
        <w:t>vanskelige at tolke på. Derfor udregnes de gennemsnitlige marginale effekt</w:t>
      </w:r>
      <w:r w:rsidR="006D3DA1" w:rsidRPr="00210087">
        <w:t>er</w:t>
      </w:r>
      <w:r w:rsidR="00B17D97" w:rsidRPr="00210087">
        <w:t xml:space="preserve"> for de forklarende variable. </w:t>
      </w:r>
      <w:r w:rsidR="00B00F95" w:rsidRPr="00210087">
        <w:t>Den gennemsnitlige marginale effekt giver den gennemsnitlige ændring i sandsynligheden</w:t>
      </w:r>
      <w:r w:rsidR="00907FA0" w:rsidRPr="00210087">
        <w:t xml:space="preserve"> for alle </w:t>
      </w:r>
      <w:r w:rsidR="00681871" w:rsidRPr="00210087">
        <w:t>kommuner</w:t>
      </w:r>
      <w:r w:rsidR="00B00F95" w:rsidRPr="00210087">
        <w:t>, når den pågældende forklarende variabel stiger</w:t>
      </w:r>
      <w:r w:rsidR="00DE0375" w:rsidRPr="00210087">
        <w:t xml:space="preserve"> marginalt</w:t>
      </w:r>
      <w:r w:rsidR="00B00F95" w:rsidRPr="00210087">
        <w:t xml:space="preserve">. </w:t>
      </w:r>
      <w:r w:rsidR="006A44A9" w:rsidRPr="00210087">
        <w:t xml:space="preserve">Figur </w:t>
      </w:r>
      <w:r w:rsidR="00180FCF">
        <w:t>8</w:t>
      </w:r>
      <w:r w:rsidR="006A44A9" w:rsidRPr="00210087">
        <w:t xml:space="preserve"> viser samme tendenser</w:t>
      </w:r>
      <w:r w:rsidR="00967427" w:rsidRPr="00210087">
        <w:t xml:space="preserve"> som</w:t>
      </w:r>
      <w:r w:rsidR="006A44A9" w:rsidRPr="00210087">
        <w:t xml:space="preserve"> figur 5: Det er tilsyneladende serviceniveauet og budgetoverskridelsen i 2016, som har en positiv betydning for, hvorvidt kommunerne overskrider budgettet i 2017 (Figur </w:t>
      </w:r>
      <w:r w:rsidR="00180FCF">
        <w:t>8</w:t>
      </w:r>
      <w:r w:rsidR="006A44A9" w:rsidRPr="00210087">
        <w:t>: (1)).</w:t>
      </w:r>
      <w:r w:rsidR="00967427" w:rsidRPr="00210087">
        <w:t xml:space="preserve"> </w:t>
      </w:r>
      <w:r w:rsidR="00B00F95" w:rsidRPr="00210087">
        <w:t>De marginale effekter i regressionsmodellen viser lig</w:t>
      </w:r>
      <w:r w:rsidR="009B3E54" w:rsidRPr="00210087">
        <w:t>nende</w:t>
      </w:r>
      <w:r w:rsidR="00B00F95" w:rsidRPr="00210087">
        <w:t xml:space="preserve"> resultater,</w:t>
      </w:r>
      <w:r w:rsidR="00191C57" w:rsidRPr="00210087">
        <w:t xml:space="preserve"> som koefficienterne fra </w:t>
      </w:r>
      <w:proofErr w:type="spellStart"/>
      <w:r w:rsidR="00191C57" w:rsidRPr="00210087">
        <w:t>probit</w:t>
      </w:r>
      <w:proofErr w:type="spellEnd"/>
      <w:r w:rsidR="00191C57" w:rsidRPr="00210087">
        <w:t>-</w:t>
      </w:r>
      <w:r w:rsidR="006A44A9" w:rsidRPr="00210087">
        <w:t>modellen.</w:t>
      </w:r>
      <w:r w:rsidR="00B00F95" w:rsidRPr="00210087">
        <w:t xml:space="preserve"> Igen er det serviceniveauet og budgetoverskridelsen fra 2016, som har en positiv signifikant betydning for sandsynligheden for budgetoverskridelse</w:t>
      </w:r>
      <w:r w:rsidR="006A44A9" w:rsidRPr="00210087">
        <w:t xml:space="preserve"> i 2017. De marginale effekter</w:t>
      </w:r>
      <w:r w:rsidR="00B00F95" w:rsidRPr="00210087">
        <w:t xml:space="preserve"> har også en ganske betydelige størrelse. </w:t>
      </w:r>
      <w:r w:rsidR="00907FA0" w:rsidRPr="00210087">
        <w:t>Hvis</w:t>
      </w:r>
      <w:r w:rsidR="00B00F95" w:rsidRPr="00210087">
        <w:t xml:space="preserve"> serviceniveauet</w:t>
      </w:r>
      <w:r w:rsidR="00907FA0" w:rsidRPr="00210087">
        <w:t xml:space="preserve"> stiger </w:t>
      </w:r>
      <w:r w:rsidR="00967427" w:rsidRPr="00210087">
        <w:t>med 0,01</w:t>
      </w:r>
      <w:r w:rsidR="00907FA0" w:rsidRPr="00210087">
        <w:t>, stiger</w:t>
      </w:r>
      <w:r w:rsidR="00DE0375" w:rsidRPr="00210087">
        <w:t xml:space="preserve"> sandsynlighed</w:t>
      </w:r>
      <w:r w:rsidR="00907FA0" w:rsidRPr="00210087">
        <w:t>en</w:t>
      </w:r>
      <w:r w:rsidR="00681871" w:rsidRPr="00210087">
        <w:t xml:space="preserve"> for budgetoverskridelse</w:t>
      </w:r>
      <w:r w:rsidR="00907FA0" w:rsidRPr="00210087">
        <w:t xml:space="preserve"> </w:t>
      </w:r>
      <w:r w:rsidR="00681871" w:rsidRPr="00210087">
        <w:t xml:space="preserve">med </w:t>
      </w:r>
      <w:r w:rsidR="00DE0375" w:rsidRPr="00210087">
        <w:t>5,77 pct.</w:t>
      </w:r>
      <w:r w:rsidR="00967427" w:rsidRPr="00210087">
        <w:t xml:space="preserve"> følgeligt.</w:t>
      </w:r>
      <w:r w:rsidR="00681871" w:rsidRPr="00210087">
        <w:t xml:space="preserve"> </w:t>
      </w:r>
      <w:r w:rsidR="00B00F95" w:rsidRPr="00210087">
        <w:t xml:space="preserve">Den gennemsnitlige marginale effekt for budgetoverskridelsen i 2016 </w:t>
      </w:r>
      <w:r w:rsidR="00967427" w:rsidRPr="00210087">
        <w:t>er</w:t>
      </w:r>
      <w:r w:rsidR="00B00F95" w:rsidRPr="00210087">
        <w:t xml:space="preserve"> også stor: Hvis en kommune overskrider</w:t>
      </w:r>
      <w:r w:rsidR="00DE0375" w:rsidRPr="00210087">
        <w:t xml:space="preserve"> de budgetterede serviceudgifter </w:t>
      </w:r>
      <w:r w:rsidR="00B00F95" w:rsidRPr="00210087">
        <w:t>i 2016, stiger sandsynligheden</w:t>
      </w:r>
      <w:r w:rsidR="00681871" w:rsidRPr="00210087">
        <w:t xml:space="preserve"> </w:t>
      </w:r>
      <w:r w:rsidR="00B00F95" w:rsidRPr="00210087">
        <w:t>med 29 pct. for</w:t>
      </w:r>
      <w:r w:rsidR="00681871" w:rsidRPr="00210087">
        <w:t>,</w:t>
      </w:r>
      <w:r w:rsidR="00B00F95" w:rsidRPr="00210087">
        <w:t xml:space="preserve"> at kommune</w:t>
      </w:r>
      <w:r w:rsidR="00191C57" w:rsidRPr="00210087">
        <w:t>n</w:t>
      </w:r>
      <w:r w:rsidR="00B00F95" w:rsidRPr="00210087">
        <w:t xml:space="preserve"> også overskrider budgettet i 2017</w:t>
      </w:r>
      <w:r w:rsidR="00780253" w:rsidRPr="00210087">
        <w:t xml:space="preserve"> (Figur 6: (2))</w:t>
      </w:r>
      <w:r w:rsidR="00B00F95" w:rsidRPr="00210087">
        <w:t>. I den reducerede model ses samme mønster: Både serviceniveauet og budgetoverskridelsen</w:t>
      </w:r>
      <w:r w:rsidR="00681871" w:rsidRPr="00210087">
        <w:t xml:space="preserve"> i 2016</w:t>
      </w:r>
      <w:r w:rsidR="00B00F95" w:rsidRPr="00210087">
        <w:t xml:space="preserve"> har betydelige positive størrelser og er signifikante. </w:t>
      </w:r>
      <w:r w:rsidR="00780253" w:rsidRPr="00210087">
        <w:t>Derudover bidrager det socioøkonomiske indeks også til højere sandsynlighed for budgetoverskridelse</w:t>
      </w:r>
      <w:r w:rsidR="00681871" w:rsidRPr="00210087">
        <w:t xml:space="preserve"> i 2017</w:t>
      </w:r>
      <w:r w:rsidR="00780253" w:rsidRPr="00210087">
        <w:t xml:space="preserve"> i den fulde model</w:t>
      </w:r>
      <w:r w:rsidR="00DE0375" w:rsidRPr="00210087">
        <w:t>. Effekten er dog</w:t>
      </w:r>
      <w:r w:rsidR="006A44A9" w:rsidRPr="00210087">
        <w:t xml:space="preserve"> kun</w:t>
      </w:r>
      <w:r w:rsidR="00DE0375" w:rsidRPr="00210087">
        <w:t xml:space="preserve"> signifikant</w:t>
      </w:r>
      <w:r w:rsidR="00E51A42" w:rsidRPr="00210087">
        <w:t xml:space="preserve"> på et 10 pct. signifikansniveau</w:t>
      </w:r>
      <w:r w:rsidR="00780253" w:rsidRPr="00210087">
        <w:t xml:space="preserve">. </w:t>
      </w:r>
      <w:r w:rsidR="00DE0375" w:rsidRPr="00210087">
        <w:t>Derudover</w:t>
      </w:r>
      <w:r w:rsidR="00780253" w:rsidRPr="00210087">
        <w:t xml:space="preserve"> viser effekt</w:t>
      </w:r>
      <w:r w:rsidR="00DE0375" w:rsidRPr="00210087">
        <w:t>en</w:t>
      </w:r>
      <w:r w:rsidR="00780253" w:rsidRPr="00210087">
        <w:t xml:space="preserve"> sig at væ</w:t>
      </w:r>
      <w:r w:rsidR="009B3E54" w:rsidRPr="00210087">
        <w:t xml:space="preserve">re </w:t>
      </w:r>
      <w:proofErr w:type="spellStart"/>
      <w:r w:rsidR="009B3E54" w:rsidRPr="00210087">
        <w:t>insignifikant</w:t>
      </w:r>
      <w:proofErr w:type="spellEnd"/>
      <w:r w:rsidR="009B3E54" w:rsidRPr="00210087">
        <w:t xml:space="preserve"> ved en stepvis</w:t>
      </w:r>
      <w:r w:rsidR="00780253" w:rsidRPr="00210087">
        <w:t xml:space="preserve"> reduktion af modellens variable.</w:t>
      </w:r>
    </w:p>
    <w:p w:rsidR="006E63A6" w:rsidRPr="00210087" w:rsidRDefault="006E63A6" w:rsidP="00470072">
      <w:r w:rsidRPr="00210087">
        <w:t xml:space="preserve">Ud fra regressionerne kan man først og fremmest konkludere, at størstedelen af hypoteserne bliver afkræftet. Det er dermed </w:t>
      </w:r>
      <w:r w:rsidR="00E51A42" w:rsidRPr="00210087">
        <w:t>vanskeligt</w:t>
      </w:r>
      <w:r w:rsidRPr="00210087">
        <w:t xml:space="preserve"> at finde systematiske forklaringer på budgetoverskridelserne i kommunerne. Dog er der nogle klare tendens</w:t>
      </w:r>
      <w:r w:rsidR="009B3E54" w:rsidRPr="00210087">
        <w:t>er</w:t>
      </w:r>
      <w:r w:rsidRPr="00210087">
        <w:t>, som viser stærkt statistisk signifikans. D</w:t>
      </w:r>
      <w:r w:rsidR="00191C57" w:rsidRPr="00210087">
        <w:t>et skal også bemærkes, at disse</w:t>
      </w:r>
      <w:r w:rsidRPr="00210087">
        <w:t xml:space="preserve"> </w:t>
      </w:r>
      <w:r w:rsidR="0044383E" w:rsidRPr="00210087">
        <w:t>forklaringer er konsistente</w:t>
      </w:r>
      <w:r w:rsidRPr="00210087">
        <w:t xml:space="preserve"> – både hvis man fokuserer på nettodriftsudgifterne og serviceudgifterne. Resultaterne peger på, at det primært er soliditeten i kommunernes økonomi, som påvirker</w:t>
      </w:r>
      <w:r w:rsidR="006A44A9" w:rsidRPr="00210087">
        <w:t>,</w:t>
      </w:r>
      <w:r w:rsidRPr="00210087">
        <w:t xml:space="preserve"> hvorvidt kommunerne overskrider</w:t>
      </w:r>
      <w:r w:rsidR="00372EE8" w:rsidRPr="00210087">
        <w:t xml:space="preserve"> budgetterne</w:t>
      </w:r>
      <w:r w:rsidRPr="00210087">
        <w:t xml:space="preserve">. </w:t>
      </w:r>
      <w:r w:rsidR="00DF5772" w:rsidRPr="00210087">
        <w:t>Navnlig</w:t>
      </w:r>
      <w:r w:rsidR="0044383E" w:rsidRPr="00210087">
        <w:t xml:space="preserve"> er det serviceniveaue</w:t>
      </w:r>
      <w:r w:rsidR="00372EE8" w:rsidRPr="00210087">
        <w:t>t, og hvorvidt kommunen overskri</w:t>
      </w:r>
      <w:r w:rsidR="0044383E" w:rsidRPr="00210087">
        <w:t>d</w:t>
      </w:r>
      <w:r w:rsidR="00372EE8" w:rsidRPr="00210087">
        <w:t>er</w:t>
      </w:r>
      <w:r w:rsidR="0044383E" w:rsidRPr="00210087">
        <w:t xml:space="preserve"> budgettet i</w:t>
      </w:r>
      <w:r w:rsidRPr="00210087">
        <w:t xml:space="preserve"> 2016, som begge påvirker sandsynligheden for budgetoverskridelse </w:t>
      </w:r>
      <w:r w:rsidR="0044383E" w:rsidRPr="00210087">
        <w:t xml:space="preserve">i </w:t>
      </w:r>
      <w:r w:rsidRPr="00210087">
        <w:t>2017</w:t>
      </w:r>
      <w:r w:rsidR="0044383E" w:rsidRPr="00210087">
        <w:t xml:space="preserve"> positivt</w:t>
      </w:r>
      <w:r w:rsidRPr="00210087">
        <w:t xml:space="preserve">. </w:t>
      </w:r>
    </w:p>
    <w:p w:rsidR="0044383E" w:rsidRPr="00210087" w:rsidRDefault="005F4E78" w:rsidP="00470072">
      <w:r w:rsidRPr="00210087">
        <w:t>Som beskrevet er serviceniveauet defineret ved kommunens nettodriftsudgifter divideret med kommunens udgiftsbehov</w:t>
      </w:r>
      <w:r w:rsidR="0044383E" w:rsidRPr="00210087">
        <w:t>.</w:t>
      </w:r>
      <w:r w:rsidRPr="00210087">
        <w:t xml:space="preserve"> </w:t>
      </w:r>
      <w:r w:rsidR="0044383E" w:rsidRPr="00210087">
        <w:t>D</w:t>
      </w:r>
      <w:r w:rsidRPr="00210087">
        <w:t xml:space="preserve">et faktum at dette påvirker sandsynligheden for budgetoverskridelse positivt kan fortolkes på flere måder. Den mere </w:t>
      </w:r>
      <w:r w:rsidR="00DF5772" w:rsidRPr="00210087">
        <w:t>umiddelbare</w:t>
      </w:r>
      <w:r w:rsidRPr="00210087">
        <w:t xml:space="preserve"> forklaring bygger på</w:t>
      </w:r>
      <w:r w:rsidR="0044383E" w:rsidRPr="00210087">
        <w:t>,</w:t>
      </w:r>
      <w:r w:rsidRPr="00210087">
        <w:t xml:space="preserve"> at </w:t>
      </w:r>
      <w:r w:rsidR="0044383E" w:rsidRPr="00210087">
        <w:t>kommuner med høje serviceniveauer</w:t>
      </w:r>
      <w:r w:rsidRPr="00210087">
        <w:t xml:space="preserve"> har et høj</w:t>
      </w:r>
      <w:r w:rsidR="00191C57" w:rsidRPr="00210087">
        <w:t>t</w:t>
      </w:r>
      <w:r w:rsidRPr="00210087">
        <w:t xml:space="preserve"> udgiftsniveau </w:t>
      </w:r>
      <w:r w:rsidR="00191C57" w:rsidRPr="00210087">
        <w:t>ift.</w:t>
      </w:r>
      <w:r w:rsidRPr="00210087">
        <w:t xml:space="preserve"> udgiftsbehov. Dermed vil kommuner, som bruger mere likviditet </w:t>
      </w:r>
      <w:r w:rsidR="0044383E" w:rsidRPr="00210087">
        <w:t xml:space="preserve">end nødvendigt, også </w:t>
      </w:r>
      <w:r w:rsidRPr="00210087">
        <w:t>overskride budgetterne</w:t>
      </w:r>
      <w:r w:rsidR="0044383E" w:rsidRPr="00210087">
        <w:t xml:space="preserve"> i højere grad</w:t>
      </w:r>
      <w:r w:rsidRPr="00210087">
        <w:t>. Denne forklaring bunder</w:t>
      </w:r>
      <w:r w:rsidR="0044383E" w:rsidRPr="00210087">
        <w:t xml:space="preserve"> altså</w:t>
      </w:r>
      <w:r w:rsidR="00191C57" w:rsidRPr="00210087">
        <w:t xml:space="preserve"> ud i kommunernes dygtighed til at </w:t>
      </w:r>
      <w:r w:rsidR="00372EE8" w:rsidRPr="00210087">
        <w:t>føre økonomi</w:t>
      </w:r>
      <w:r w:rsidR="0044383E" w:rsidRPr="00210087">
        <w:t xml:space="preserve">. </w:t>
      </w:r>
      <w:r w:rsidRPr="00210087">
        <w:t xml:space="preserve">En anden årsag </w:t>
      </w:r>
      <w:r w:rsidR="0044383E" w:rsidRPr="00210087">
        <w:t xml:space="preserve">til </w:t>
      </w:r>
      <w:r w:rsidR="002F6BA9" w:rsidRPr="00210087">
        <w:t>den positive sammenhæng kan være, at kommuner</w:t>
      </w:r>
      <w:r w:rsidR="00191C57" w:rsidRPr="00210087">
        <w:t xml:space="preserve"> med høje serviceniveauer</w:t>
      </w:r>
      <w:r w:rsidR="002F6BA9" w:rsidRPr="00210087">
        <w:t xml:space="preserve"> har lavere produktivitet</w:t>
      </w:r>
      <w:r w:rsidR="0044383E" w:rsidRPr="00210087">
        <w:t xml:space="preserve"> for serviceydelserne</w:t>
      </w:r>
      <w:r w:rsidR="002F6BA9" w:rsidRPr="00210087">
        <w:t xml:space="preserve"> end landsgennemsnittet. Derved vil disse kommuner være nødsaget til a</w:t>
      </w:r>
      <w:r w:rsidR="0044383E" w:rsidRPr="00210087">
        <w:t>t bruge flere penge på ydelser. Dette vil så</w:t>
      </w:r>
      <w:r w:rsidR="002F6BA9" w:rsidRPr="00210087">
        <w:t xml:space="preserve"> medføre, at de overskrider deres budgetter. </w:t>
      </w:r>
    </w:p>
    <w:p w:rsidR="00372EE8" w:rsidRPr="00210087" w:rsidRDefault="0044383E" w:rsidP="00470072">
      <w:r w:rsidRPr="00210087">
        <w:t xml:space="preserve">At </w:t>
      </w:r>
      <w:r w:rsidR="002F6BA9" w:rsidRPr="00210087">
        <w:t xml:space="preserve">budgetoverskridelsen for det forløbne år har positiv indflydelse </w:t>
      </w:r>
      <w:r w:rsidRPr="00210087">
        <w:t>på budgetoverskridelsen i næste</w:t>
      </w:r>
      <w:r w:rsidR="00067965" w:rsidRPr="00210087">
        <w:t xml:space="preserve"> betyder</w:t>
      </w:r>
      <w:r w:rsidRPr="00210087">
        <w:t>,</w:t>
      </w:r>
      <w:r w:rsidR="00067965" w:rsidRPr="00210087">
        <w:t xml:space="preserve"> at der er en robusthed over tid </w:t>
      </w:r>
      <w:r w:rsidRPr="00210087">
        <w:t>for</w:t>
      </w:r>
      <w:r w:rsidR="00067965" w:rsidRPr="00210087">
        <w:t xml:space="preserve"> budgetoverskridelserne. Derved er det i høj grad de samme kommuner</w:t>
      </w:r>
      <w:r w:rsidRPr="00210087">
        <w:t>,</w:t>
      </w:r>
      <w:r w:rsidR="00067965" w:rsidRPr="00210087">
        <w:t xml:space="preserve"> som ikke ønsker eller</w:t>
      </w:r>
      <w:r w:rsidR="00372EE8" w:rsidRPr="00210087">
        <w:t xml:space="preserve"> ikke</w:t>
      </w:r>
      <w:r w:rsidR="00067965" w:rsidRPr="00210087">
        <w:t xml:space="preserve"> vil holde deres budgetter. </w:t>
      </w:r>
      <w:r w:rsidRPr="00210087">
        <w:t>Dette indikerer, at</w:t>
      </w:r>
      <w:r w:rsidR="002F6BA9" w:rsidRPr="00210087">
        <w:t xml:space="preserve"> </w:t>
      </w:r>
      <w:r w:rsidR="005F4E78" w:rsidRPr="00210087">
        <w:t>der findes nogle strukturelle problematikker</w:t>
      </w:r>
      <w:r w:rsidRPr="00210087">
        <w:t>,</w:t>
      </w:r>
      <w:r w:rsidR="005F4E78" w:rsidRPr="00210087">
        <w:t xml:space="preserve"> i den måde kom</w:t>
      </w:r>
      <w:r w:rsidRPr="00210087">
        <w:t>munerne</w:t>
      </w:r>
      <w:r w:rsidR="002F6BA9" w:rsidRPr="00210087">
        <w:t xml:space="preserve"> fører økonomisk politik</w:t>
      </w:r>
      <w:r w:rsidR="00067965" w:rsidRPr="00210087">
        <w:t xml:space="preserve"> på. </w:t>
      </w:r>
      <w:r w:rsidR="006A44A9" w:rsidRPr="00210087">
        <w:t>Dette tyder på, at der ikke findes</w:t>
      </w:r>
      <w:r w:rsidRPr="00210087">
        <w:t xml:space="preserve"> en virkningsfuld institutionel mekanisme, som giver kommuner incitament til at holde budget</w:t>
      </w:r>
      <w:r w:rsidR="009D7457" w:rsidRPr="00210087">
        <w:t>tet</w:t>
      </w:r>
      <w:r w:rsidRPr="00210087">
        <w:t xml:space="preserve"> året efter en budgetoverskridelse. Dermed </w:t>
      </w:r>
      <w:r w:rsidR="00372EE8" w:rsidRPr="00210087">
        <w:t>er konsekvenserne for dårlig økonomisk ledelse ikke store nok.</w:t>
      </w:r>
    </w:p>
    <w:p w:rsidR="00B00F95" w:rsidRPr="00210087" w:rsidRDefault="009D7457" w:rsidP="00470072">
      <w:r w:rsidRPr="00210087">
        <w:t>R</w:t>
      </w:r>
      <w:r w:rsidR="006E63A6" w:rsidRPr="00210087">
        <w:t xml:space="preserve">esultaterne </w:t>
      </w:r>
      <w:r w:rsidRPr="00210087">
        <w:t xml:space="preserve">danner </w:t>
      </w:r>
      <w:r w:rsidR="006C7BD7" w:rsidRPr="00210087">
        <w:t xml:space="preserve">sig </w:t>
      </w:r>
      <w:r w:rsidRPr="00210087">
        <w:t xml:space="preserve">altså </w:t>
      </w:r>
      <w:r w:rsidR="006C7BD7" w:rsidRPr="00210087">
        <w:t>et mønster</w:t>
      </w:r>
      <w:r w:rsidR="006E63A6" w:rsidRPr="00210087">
        <w:t>. De forklaringer</w:t>
      </w:r>
      <w:r w:rsidR="00546579">
        <w:t>,</w:t>
      </w:r>
      <w:r w:rsidR="006E63A6" w:rsidRPr="00210087">
        <w:t xml:space="preserve"> som er præget af statistisk signifikans</w:t>
      </w:r>
      <w:r w:rsidR="00546579">
        <w:t>,</w:t>
      </w:r>
      <w:r w:rsidR="006E63A6" w:rsidRPr="00210087">
        <w:t xml:space="preserve"> retter sig imod</w:t>
      </w:r>
      <w:r w:rsidR="002F6BA9" w:rsidRPr="00210087">
        <w:t xml:space="preserve"> kommunen</w:t>
      </w:r>
      <w:r w:rsidR="006E63A6" w:rsidRPr="00210087">
        <w:t xml:space="preserve"> som institution og peger på</w:t>
      </w:r>
      <w:r w:rsidR="002F6BA9" w:rsidRPr="00210087">
        <w:t xml:space="preserve"> struktu</w:t>
      </w:r>
      <w:r w:rsidR="00372EE8" w:rsidRPr="00210087">
        <w:t>relle problematikker i kommunernes</w:t>
      </w:r>
      <w:r w:rsidR="002F6BA9" w:rsidRPr="00210087">
        <w:t xml:space="preserve"> økonomiføring. </w:t>
      </w:r>
      <w:r w:rsidR="005F4E78" w:rsidRPr="00210087">
        <w:t xml:space="preserve">De </w:t>
      </w:r>
      <w:r w:rsidR="006E63A6" w:rsidRPr="00210087">
        <w:t xml:space="preserve">forklaringer som </w:t>
      </w:r>
      <w:r w:rsidR="002F6BA9" w:rsidRPr="00210087">
        <w:t>viser sig ikke at hav</w:t>
      </w:r>
      <w:r w:rsidR="0044383E" w:rsidRPr="00210087">
        <w:t xml:space="preserve">e effekt på budgetoverskridelserne </w:t>
      </w:r>
      <w:r w:rsidR="002F6BA9" w:rsidRPr="00210087">
        <w:t>er derimod i højere grad de ydre omstændigheder</w:t>
      </w:r>
      <w:r w:rsidR="006A44A9" w:rsidRPr="00210087">
        <w:t>:</w:t>
      </w:r>
      <w:r w:rsidR="002F6BA9" w:rsidRPr="00210087">
        <w:t xml:space="preserve"> </w:t>
      </w:r>
      <w:r w:rsidR="006C7BD7" w:rsidRPr="00210087">
        <w:t>de kommunalpolitiske mønst</w:t>
      </w:r>
      <w:r w:rsidR="00DF5772" w:rsidRPr="00210087">
        <w:t>r</w:t>
      </w:r>
      <w:r w:rsidR="006C7BD7" w:rsidRPr="00210087">
        <w:t>e, de sociale strukturer,</w:t>
      </w:r>
      <w:r w:rsidR="002F6BA9" w:rsidRPr="00210087">
        <w:t xml:space="preserve"> </w:t>
      </w:r>
      <w:r w:rsidR="006A44A9" w:rsidRPr="00210087">
        <w:t xml:space="preserve">kommunens </w:t>
      </w:r>
      <w:r w:rsidR="002F6BA9" w:rsidRPr="00210087">
        <w:t xml:space="preserve">velstand og ydre negative stød til økonomien. </w:t>
      </w:r>
      <w:r w:rsidR="006C7BD7" w:rsidRPr="00210087">
        <w:t>Der</w:t>
      </w:r>
      <w:r w:rsidR="00067965" w:rsidRPr="00210087">
        <w:t xml:space="preserve"> findes </w:t>
      </w:r>
      <w:r w:rsidR="006C7BD7" w:rsidRPr="00210087">
        <w:t>altså</w:t>
      </w:r>
      <w:r w:rsidR="00067965" w:rsidRPr="00210087">
        <w:t xml:space="preserve"> </w:t>
      </w:r>
      <w:r w:rsidR="006C7BD7" w:rsidRPr="00210087">
        <w:t>ikke</w:t>
      </w:r>
      <w:r w:rsidRPr="00210087">
        <w:t xml:space="preserve"> beviser for</w:t>
      </w:r>
      <w:r w:rsidR="00067965" w:rsidRPr="00210087">
        <w:t>,</w:t>
      </w:r>
      <w:r w:rsidRPr="00210087">
        <w:t xml:space="preserve"> at kommuner med</w:t>
      </w:r>
      <w:r w:rsidR="006C7BD7" w:rsidRPr="00210087">
        <w:t xml:space="preserve"> de sværeste bet</w:t>
      </w:r>
      <w:r w:rsidRPr="00210087">
        <w:t xml:space="preserve">ingelser </w:t>
      </w:r>
      <w:r w:rsidR="00067965" w:rsidRPr="00210087">
        <w:t xml:space="preserve">også </w:t>
      </w:r>
      <w:r w:rsidR="00432A58">
        <w:t xml:space="preserve">er dem, der </w:t>
      </w:r>
      <w:r w:rsidR="00067965" w:rsidRPr="00210087">
        <w:t>overskrider budgetterne.</w:t>
      </w:r>
    </w:p>
    <w:p w:rsidR="00316C29" w:rsidRPr="00683012" w:rsidRDefault="00470072" w:rsidP="00470072">
      <w:pPr>
        <w:pStyle w:val="Overskrift1"/>
      </w:pPr>
      <w:bookmarkStart w:id="20" w:name="_Toc532903354"/>
      <w:bookmarkStart w:id="21" w:name="_Toc532903587"/>
      <w:r w:rsidRPr="00470072">
        <w:t>Veje til sikring af budgetdisciplin</w:t>
      </w:r>
      <w:bookmarkEnd w:id="20"/>
      <w:bookmarkEnd w:id="21"/>
    </w:p>
    <w:p w:rsidR="00470072" w:rsidRDefault="00470072" w:rsidP="00470072"/>
    <w:p w:rsidR="00647E57" w:rsidRPr="00210087" w:rsidRDefault="00647E57" w:rsidP="00470072">
      <w:r w:rsidRPr="00210087">
        <w:t xml:space="preserve">Når kommunerne overskrider deres </w:t>
      </w:r>
      <w:r w:rsidR="009D7457" w:rsidRPr="00210087">
        <w:t>budgetter,</w:t>
      </w:r>
      <w:r w:rsidRPr="00210087">
        <w:t xml:space="preserve"> bliver borgerne udsat for en anden ressourceanvendelse end den, som er fastlagt gennem </w:t>
      </w:r>
      <w:r w:rsidR="000237C9">
        <w:t xml:space="preserve">demokratiske </w:t>
      </w:r>
      <w:r w:rsidRPr="00210087">
        <w:t>beslutningsprocesser. Derved er det et udtryk for tab af nytte. Derudover bliver samfundsøkonomien</w:t>
      </w:r>
      <w:r w:rsidR="006C7BD7" w:rsidRPr="00210087">
        <w:t xml:space="preserve"> </w:t>
      </w:r>
      <w:r w:rsidRPr="00210087">
        <w:t xml:space="preserve">udsat for et udgiftspres, som resulterer i at kommunesektorens offentlige rammer og udgifter øges. Denne analyse bidrager til indsigt i hvilke aspekter, som </w:t>
      </w:r>
      <w:r w:rsidR="00465FAA" w:rsidRPr="00210087">
        <w:t xml:space="preserve">er associeret med </w:t>
      </w:r>
      <w:r w:rsidRPr="00210087">
        <w:t xml:space="preserve">kommunal budgetoverskridelse. Ud fra denne indsigt kan man danne overvejelser, om hvordan man eventuelt kan tilrettelægge foranstaltninger, således </w:t>
      </w:r>
      <w:r w:rsidR="006C7BD7" w:rsidRPr="00210087">
        <w:t xml:space="preserve">at </w:t>
      </w:r>
      <w:r w:rsidRPr="00210087">
        <w:t xml:space="preserve">kommunerne i højere grad vil overholde budgetterne. </w:t>
      </w:r>
      <w:r w:rsidR="000C057E" w:rsidRPr="00210087">
        <w:t xml:space="preserve">Analysen </w:t>
      </w:r>
      <w:r w:rsidR="006C7BD7" w:rsidRPr="00210087">
        <w:t>peger på</w:t>
      </w:r>
      <w:r w:rsidR="009D7457" w:rsidRPr="00210087">
        <w:t>, at det er</w:t>
      </w:r>
      <w:r w:rsidR="006C7BD7" w:rsidRPr="00210087">
        <w:t xml:space="preserve"> de indre strukturelle karakteristika</w:t>
      </w:r>
      <w:r w:rsidR="000C057E" w:rsidRPr="00210087">
        <w:t xml:space="preserve"> i kommunernes økonomiføring, som leder til budgetoverskridelser. Ifølge indsigten fra denne analyse bør man altså konstruere foranstaltninger, som understøtter økonomistyringen i kommuner </w:t>
      </w:r>
      <w:r w:rsidR="009D7457" w:rsidRPr="00210087">
        <w:t>med svag økonomistyring</w:t>
      </w:r>
      <w:r w:rsidR="000C057E" w:rsidRPr="00210087">
        <w:t xml:space="preserve">.  </w:t>
      </w:r>
      <w:r w:rsidRPr="00210087">
        <w:t xml:space="preserve"> </w:t>
      </w:r>
    </w:p>
    <w:p w:rsidR="006F676B" w:rsidRPr="00210087" w:rsidRDefault="000C057E" w:rsidP="00470072">
      <w:r w:rsidRPr="00210087">
        <w:t xml:space="preserve">Den nutidige praksis for den samlede </w:t>
      </w:r>
      <w:r w:rsidR="006C7BD7" w:rsidRPr="00210087">
        <w:t>økonomistyring af kommunerne fungerer således</w:t>
      </w:r>
      <w:r w:rsidRPr="00210087">
        <w:t xml:space="preserve">, at borgerne i </w:t>
      </w:r>
      <w:r w:rsidR="006C7BD7" w:rsidRPr="00210087">
        <w:t>kommuner</w:t>
      </w:r>
      <w:r w:rsidRPr="00210087">
        <w:t xml:space="preserve"> med styr på økonomien bliver tvunget til at overføre penge til kommuner med manglende økonomistyring. Denne praksis bliver </w:t>
      </w:r>
      <w:r w:rsidR="006C7BD7" w:rsidRPr="00210087">
        <w:t>betragtet</w:t>
      </w:r>
      <w:r w:rsidRPr="00210087">
        <w:t xml:space="preserve"> som et anliggende mellem kommunerne. Det kan dog betvivles om dette er efficient</w:t>
      </w:r>
      <w:r w:rsidR="006C7BD7" w:rsidRPr="00210087">
        <w:t>, da kommuner</w:t>
      </w:r>
      <w:r w:rsidRPr="00210087">
        <w:t xml:space="preserve"> med svag økonomistyring derved ikke har incitament til at forbedre økonomien. </w:t>
      </w:r>
      <w:r w:rsidR="00372EE8" w:rsidRPr="00210087">
        <w:t>Den kommunale udligning medfører, at kommunerne har incitament til at bruge præcis hvad de er budgetteret til, da et eventuelt overskud bliver overført til andre kommuner. Derfor har de ikke anledning til at spare op og føre en bæredygtig økonomi af sig selv. Der</w:t>
      </w:r>
      <w:r w:rsidR="00465FAA" w:rsidRPr="00210087">
        <w:t>for</w:t>
      </w:r>
      <w:r w:rsidR="00372EE8" w:rsidRPr="00210087">
        <w:t xml:space="preserve"> kan</w:t>
      </w:r>
      <w:r w:rsidR="00465FAA" w:rsidRPr="00210087">
        <w:t xml:space="preserve"> man</w:t>
      </w:r>
      <w:r w:rsidR="00372EE8" w:rsidRPr="00210087">
        <w:t xml:space="preserve"> argumentere</w:t>
      </w:r>
      <w:r w:rsidR="00465FAA" w:rsidRPr="00210087">
        <w:t xml:space="preserve"> </w:t>
      </w:r>
      <w:r w:rsidR="00372EE8" w:rsidRPr="00210087">
        <w:t>for, at det kommunale udligningssystem medvirker til</w:t>
      </w:r>
      <w:r w:rsidR="008D482D">
        <w:t>,</w:t>
      </w:r>
      <w:r w:rsidR="00372EE8" w:rsidRPr="00210087">
        <w:t xml:space="preserve"> at kommunerne bliver for økonomisk afhængige pga. </w:t>
      </w:r>
      <w:r w:rsidR="00465FAA" w:rsidRPr="00210087">
        <w:t>si</w:t>
      </w:r>
      <w:r w:rsidR="008D482D">
        <w:t>n</w:t>
      </w:r>
      <w:r w:rsidR="00465FAA" w:rsidRPr="00210087">
        <w:t xml:space="preserve"> ugunstige </w:t>
      </w:r>
      <w:r w:rsidR="00372EE8" w:rsidRPr="00210087">
        <w:t xml:space="preserve">incitamentsstruktur. </w:t>
      </w:r>
      <w:r w:rsidRPr="00210087">
        <w:t>Alternativt kan man anvende foranstaltninger</w:t>
      </w:r>
      <w:r w:rsidR="006C7BD7" w:rsidRPr="00210087">
        <w:t>,</w:t>
      </w:r>
      <w:r w:rsidRPr="00210087">
        <w:t xml:space="preserve"> hvor kommunerne mere individuelt hæfter</w:t>
      </w:r>
      <w:r w:rsidR="006C7BD7" w:rsidRPr="00210087">
        <w:t>,</w:t>
      </w:r>
      <w:r w:rsidRPr="00210087">
        <w:t xml:space="preserve"> for de omkostninger og konsekvenser deres dårlig</w:t>
      </w:r>
      <w:r w:rsidR="006F676B" w:rsidRPr="00210087">
        <w:t>e</w:t>
      </w:r>
      <w:r w:rsidR="00F67C8A" w:rsidRPr="00210087">
        <w:t xml:space="preserve"> økonomiføring medfører.</w:t>
      </w:r>
    </w:p>
    <w:p w:rsidR="003D0517" w:rsidRPr="00210087" w:rsidRDefault="003D0517" w:rsidP="00470072">
      <w:r w:rsidRPr="00210087">
        <w:t xml:space="preserve">Modsat kan man også argumentere for, at økonomistyringen skal være mere statsstyret. </w:t>
      </w:r>
      <w:r w:rsidR="006C7BD7" w:rsidRPr="00210087">
        <w:t xml:space="preserve">I dag påtvinges </w:t>
      </w:r>
      <w:r w:rsidRPr="00210087">
        <w:t xml:space="preserve">kommuner med dårlig økonomi og fravær af nødvendig likviditet </w:t>
      </w:r>
      <w:r w:rsidR="006C7BD7" w:rsidRPr="00210087">
        <w:t xml:space="preserve">til </w:t>
      </w:r>
      <w:r w:rsidRPr="00210087">
        <w:t>at indgå aftaler med Indenrigsministeriet, hvor der aftales rammevilkår for den fremtidige økonomi for kommunerne</w:t>
      </w:r>
      <w:r w:rsidR="006C7BD7" w:rsidRPr="00210087">
        <w:t>,</w:t>
      </w:r>
      <w:r w:rsidRPr="00210087">
        <w:t xml:space="preserve"> indtil disse igen har en sund økonomi. I og med at der er en robusthed i overskridelserne af budgetterne over tid, kan denne praksis være et fornuftigt alternativ til en mere kommunalt styret økonomi.</w:t>
      </w:r>
    </w:p>
    <w:p w:rsidR="003D0517" w:rsidRPr="00210087" w:rsidRDefault="003D0517" w:rsidP="00470072">
      <w:r w:rsidRPr="00210087">
        <w:t xml:space="preserve">Et af de større og mere langsigtede problemer med kommunale budgetoverskridelser er, at </w:t>
      </w:r>
      <w:r w:rsidR="00FA11E4" w:rsidRPr="00210087">
        <w:t>de enkelte kommuner ikke bærer de fulde s</w:t>
      </w:r>
      <w:r w:rsidR="006C7BD7" w:rsidRPr="00210087">
        <w:t xml:space="preserve">amfundsøkonomiske omkostninger. Således </w:t>
      </w:r>
      <w:r w:rsidR="00FA11E4" w:rsidRPr="00210087">
        <w:t>holder</w:t>
      </w:r>
      <w:r w:rsidR="006C7BD7" w:rsidRPr="00210087">
        <w:t xml:space="preserve"> de</w:t>
      </w:r>
      <w:r w:rsidR="00FA11E4" w:rsidRPr="00210087">
        <w:t xml:space="preserve"> et udgiftsniveau</w:t>
      </w:r>
      <w:r w:rsidR="006C7BD7" w:rsidRPr="00210087">
        <w:t>,</w:t>
      </w:r>
      <w:r w:rsidR="00FA11E4" w:rsidRPr="00210087">
        <w:t xml:space="preserve"> som er højere end samfundsmæssigt optimalt. En potentiel løsning kan være at påtvinge kommunerne til at indregne disse samfundsmæssige omkostninger i deres udgiftsbeslutninger. Dog vil sådan en ændring betyde massive institutionelle modifikationer af kommunesystemet.</w:t>
      </w:r>
    </w:p>
    <w:p w:rsidR="00655733" w:rsidRDefault="00655733" w:rsidP="00470072">
      <w:r>
        <w:br w:type="page"/>
      </w:r>
    </w:p>
    <w:p w:rsidR="00FA11E4" w:rsidRPr="00683012" w:rsidRDefault="00FA11E4" w:rsidP="00157C04">
      <w:pPr>
        <w:pStyle w:val="Overskrift1"/>
        <w:numPr>
          <w:ilvl w:val="0"/>
          <w:numId w:val="0"/>
        </w:numPr>
        <w:ind w:left="432" w:hanging="432"/>
      </w:pPr>
      <w:bookmarkStart w:id="22" w:name="_Toc532903355"/>
      <w:bookmarkStart w:id="23" w:name="_Toc532903588"/>
      <w:r w:rsidRPr="00683012">
        <w:t>Referencer</w:t>
      </w:r>
      <w:bookmarkEnd w:id="22"/>
      <w:bookmarkEnd w:id="23"/>
      <w:r w:rsidRPr="00683012">
        <w:t xml:space="preserve"> </w:t>
      </w:r>
    </w:p>
    <w:p w:rsidR="003E1236" w:rsidRPr="00210087" w:rsidRDefault="003E1236" w:rsidP="00470072">
      <w:r w:rsidRPr="00210087">
        <w:t>Christoffersen, Henrik og Larsen, Karsten Bo (2009): Budgetdisciplin i kommunerne. CEPOS arbejdspapir nr. 6.</w:t>
      </w:r>
      <w:r w:rsidR="00FA11E4" w:rsidRPr="00210087">
        <w:br/>
        <w:t>Christoffersen, Henrik og Larsen, Karsten Bo (2009): Udgiftsbehov og udgifter i kommunerne. CEPOS arbejdspapir nr. 1.</w:t>
      </w:r>
    </w:p>
    <w:p w:rsidR="003E1236" w:rsidRPr="00470072" w:rsidRDefault="003E1236" w:rsidP="00470072">
      <w:r w:rsidRPr="00470072">
        <w:t>(</w:t>
      </w:r>
      <w:hyperlink r:id="rId17" w:history="1">
        <w:r w:rsidRPr="00470072">
          <w:rPr>
            <w:rStyle w:val="Hyperlink"/>
          </w:rPr>
          <w:t>http://www.kl.dk/Okonomi-og-administration/Okonomi-og-dokumentation/Kommunal-okonomi-a-z/Serviceudgifter/</w:t>
        </w:r>
      </w:hyperlink>
      <w:r w:rsidRPr="00470072">
        <w:t>).</w:t>
      </w:r>
      <w:r w:rsidR="00EC771F" w:rsidRPr="00470072">
        <w:t xml:space="preserve"> </w:t>
      </w:r>
    </w:p>
    <w:p w:rsidR="003E1236" w:rsidRPr="00470072" w:rsidRDefault="007A755D" w:rsidP="00470072">
      <w:hyperlink r:id="rId18" w:history="1">
        <w:r w:rsidR="004B24C7" w:rsidRPr="00470072">
          <w:rPr>
            <w:rStyle w:val="Hyperlink"/>
          </w:rPr>
          <w:t>https://www.fm.dk/oekonomi-og-tal/budgetlov-og-udgiftslofter</w:t>
        </w:r>
      </w:hyperlink>
    </w:p>
    <w:p w:rsidR="004B24C7" w:rsidRPr="00210087" w:rsidRDefault="0049657B" w:rsidP="00470072">
      <w:r w:rsidRPr="00210087">
        <w:t xml:space="preserve">Finansministeriet (2010): </w:t>
      </w:r>
      <w:r w:rsidR="004B24C7" w:rsidRPr="00210087">
        <w:t>Offentligt forbrug og genopretningsaftalen</w:t>
      </w:r>
      <w:r w:rsidRPr="00210087">
        <w:t>.</w:t>
      </w:r>
    </w:p>
    <w:p w:rsidR="0049657B" w:rsidRPr="00210087" w:rsidRDefault="0049657B" w:rsidP="00470072">
      <w:r w:rsidRPr="00210087">
        <w:t>Finansministeriet (2009): Aftaler om den kommunale og regionale økonomi for 2010.</w:t>
      </w:r>
    </w:p>
    <w:p w:rsidR="0049657B" w:rsidRPr="00210087" w:rsidRDefault="0049657B" w:rsidP="00470072">
      <w:r w:rsidRPr="00210087">
        <w:t>Finansministeriet (2010): Aftaler om den kommunale og regionale økonomi for 2011.</w:t>
      </w:r>
    </w:p>
    <w:p w:rsidR="0049657B" w:rsidRPr="00210087" w:rsidRDefault="0049657B" w:rsidP="00470072">
      <w:r w:rsidRPr="00210087">
        <w:t>Finansministeriet (2012): Budgetlov.</w:t>
      </w:r>
    </w:p>
    <w:p w:rsidR="004B24C7" w:rsidRDefault="004B24C7"/>
    <w:p w:rsidR="003E1236" w:rsidRDefault="003E1236">
      <w:r>
        <w:br w:type="page"/>
      </w:r>
    </w:p>
    <w:p w:rsidR="00683012" w:rsidRPr="00157C04" w:rsidRDefault="00470072" w:rsidP="00157C04">
      <w:pPr>
        <w:pStyle w:val="Overskrift1"/>
        <w:numPr>
          <w:ilvl w:val="0"/>
          <w:numId w:val="0"/>
        </w:numPr>
        <w:ind w:left="432" w:hanging="432"/>
      </w:pPr>
      <w:bookmarkStart w:id="24" w:name="_Toc532903356"/>
      <w:bookmarkStart w:id="25" w:name="_Toc532903589"/>
      <w:r w:rsidRPr="00157C04">
        <w:t>Bilag</w:t>
      </w:r>
      <w:bookmarkEnd w:id="24"/>
      <w:bookmarkEnd w:id="25"/>
    </w:p>
    <w:p w:rsidR="00470072" w:rsidRPr="00470072" w:rsidRDefault="00470072" w:rsidP="00470072"/>
    <w:tbl>
      <w:tblPr>
        <w:tblW w:w="4440" w:type="dxa"/>
        <w:tblInd w:w="55" w:type="dxa"/>
        <w:tblCellMar>
          <w:left w:w="70" w:type="dxa"/>
          <w:right w:w="70" w:type="dxa"/>
        </w:tblCellMar>
        <w:tblLook w:val="04A0" w:firstRow="1" w:lastRow="0" w:firstColumn="1" w:lastColumn="0" w:noHBand="0" w:noVBand="1"/>
      </w:tblPr>
      <w:tblGrid>
        <w:gridCol w:w="2849"/>
        <w:gridCol w:w="777"/>
        <w:gridCol w:w="814"/>
      </w:tblGrid>
      <w:tr w:rsidR="009C5044" w:rsidRPr="009C5044" w:rsidTr="00157C04">
        <w:trPr>
          <w:trHeight w:val="642"/>
        </w:trPr>
        <w:tc>
          <w:tcPr>
            <w:tcW w:w="4440" w:type="dxa"/>
            <w:gridSpan w:val="3"/>
            <w:tcBorders>
              <w:top w:val="single" w:sz="4" w:space="0" w:color="auto"/>
              <w:left w:val="single" w:sz="4" w:space="0" w:color="auto"/>
              <w:bottom w:val="nil"/>
              <w:right w:val="single" w:sz="4" w:space="0" w:color="000000"/>
            </w:tcBorders>
            <w:shd w:val="clear" w:color="000000" w:fill="003865"/>
            <w:vAlign w:val="center"/>
            <w:hideMark/>
          </w:tcPr>
          <w:p w:rsidR="009C5044" w:rsidRPr="009C5044" w:rsidRDefault="009C5044" w:rsidP="009C5044">
            <w:pPr>
              <w:spacing w:after="0" w:line="240" w:lineRule="auto"/>
              <w:rPr>
                <w:rFonts w:eastAsia="Times New Roman" w:cs="Calibri"/>
                <w:color w:val="FFFFFF"/>
                <w:lang w:eastAsia="da-DK"/>
              </w:rPr>
            </w:pPr>
            <w:r w:rsidRPr="009C5044">
              <w:rPr>
                <w:rFonts w:eastAsia="Times New Roman" w:cs="Calibri"/>
                <w:color w:val="FFFFFF"/>
                <w:lang w:eastAsia="da-DK"/>
              </w:rPr>
              <w:t xml:space="preserve">Bilag 1: Overskridelse af de budgetterede </w:t>
            </w:r>
            <w:r w:rsidR="00E10818" w:rsidRPr="009C5044">
              <w:rPr>
                <w:rFonts w:eastAsia="Times New Roman" w:cs="Calibri"/>
                <w:color w:val="FFFFFF"/>
                <w:lang w:eastAsia="da-DK"/>
              </w:rPr>
              <w:t>nettodrifts</w:t>
            </w:r>
            <w:r w:rsidR="00E10818">
              <w:rPr>
                <w:rFonts w:eastAsia="Times New Roman" w:cs="Calibri"/>
                <w:color w:val="FFFFFF"/>
                <w:lang w:eastAsia="da-DK"/>
              </w:rPr>
              <w:t>udgifter</w:t>
            </w:r>
            <w:r w:rsidR="00E10818" w:rsidRPr="009C5044">
              <w:rPr>
                <w:rFonts w:eastAsia="Times New Roman" w:cs="Calibri"/>
                <w:color w:val="FFFFFF"/>
                <w:lang w:eastAsia="da-DK"/>
              </w:rPr>
              <w:t xml:space="preserve"> </w:t>
            </w:r>
            <w:r w:rsidRPr="009C5044">
              <w:rPr>
                <w:rFonts w:eastAsia="Times New Roman" w:cs="Calibri"/>
                <w:color w:val="FFFFFF"/>
                <w:lang w:eastAsia="da-DK"/>
              </w:rPr>
              <w:t xml:space="preserve">for kommunesektoren under ét </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157C04" w:rsidRDefault="009C5044" w:rsidP="00470072">
            <w:pPr>
              <w:spacing w:after="0" w:line="240" w:lineRule="auto"/>
              <w:rPr>
                <w:rFonts w:eastAsia="Times New Roman" w:cs="Calibri"/>
                <w:b/>
                <w:color w:val="000000"/>
                <w:sz w:val="20"/>
                <w:szCs w:val="20"/>
                <w:lang w:eastAsia="da-DK"/>
              </w:rPr>
            </w:pPr>
            <w:r w:rsidRPr="00157C04">
              <w:rPr>
                <w:rFonts w:eastAsia="Times New Roman" w:cs="Calibri"/>
                <w:b/>
                <w:color w:val="000000"/>
                <w:sz w:val="20"/>
                <w:szCs w:val="20"/>
                <w:lang w:eastAsia="da-DK"/>
              </w:rPr>
              <w:t>År</w:t>
            </w:r>
          </w:p>
        </w:tc>
        <w:tc>
          <w:tcPr>
            <w:tcW w:w="1591" w:type="dxa"/>
            <w:gridSpan w:val="2"/>
            <w:tcBorders>
              <w:top w:val="nil"/>
              <w:left w:val="nil"/>
              <w:bottom w:val="nil"/>
              <w:right w:val="single" w:sz="4" w:space="0" w:color="000000"/>
            </w:tcBorders>
            <w:shd w:val="clear" w:color="auto" w:fill="auto"/>
            <w:noWrap/>
            <w:vAlign w:val="bottom"/>
            <w:hideMark/>
          </w:tcPr>
          <w:p w:rsidR="009C5044" w:rsidRPr="00157C04" w:rsidRDefault="009C5044" w:rsidP="00157C04">
            <w:pPr>
              <w:spacing w:after="0" w:line="240" w:lineRule="auto"/>
              <w:jc w:val="right"/>
              <w:rPr>
                <w:rFonts w:eastAsia="Times New Roman" w:cs="Calibri"/>
                <w:b/>
                <w:color w:val="000000"/>
                <w:sz w:val="20"/>
                <w:szCs w:val="20"/>
                <w:lang w:eastAsia="da-DK"/>
              </w:rPr>
            </w:pPr>
            <w:r w:rsidRPr="00157C04">
              <w:rPr>
                <w:rFonts w:eastAsia="Times New Roman" w:cs="Calibri"/>
                <w:b/>
                <w:color w:val="000000"/>
                <w:sz w:val="20"/>
                <w:szCs w:val="20"/>
                <w:lang w:eastAsia="da-DK"/>
              </w:rPr>
              <w:t>Overskridelse</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2007</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1,94</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2008</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4,30</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2009</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8,29</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2010</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-0,01</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2011</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1,96</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2012</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-6,28</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2013</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-6,24</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2014</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-6,50</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2015</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-4,98</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nil"/>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2016</w:t>
            </w:r>
          </w:p>
        </w:tc>
        <w:tc>
          <w:tcPr>
            <w:tcW w:w="777" w:type="dxa"/>
            <w:tcBorders>
              <w:top w:val="nil"/>
              <w:left w:val="nil"/>
              <w:bottom w:val="nil"/>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-6,43</w:t>
            </w:r>
          </w:p>
        </w:tc>
        <w:tc>
          <w:tcPr>
            <w:tcW w:w="809" w:type="dxa"/>
            <w:tcBorders>
              <w:top w:val="nil"/>
              <w:left w:val="nil"/>
              <w:bottom w:val="nil"/>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single" w:sz="4" w:space="0" w:color="auto"/>
              <w:bottom w:val="single" w:sz="4" w:space="0" w:color="auto"/>
              <w:right w:val="nil"/>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2017</w:t>
            </w:r>
          </w:p>
        </w:tc>
        <w:tc>
          <w:tcPr>
            <w:tcW w:w="777" w:type="dxa"/>
            <w:tcBorders>
              <w:top w:val="nil"/>
              <w:left w:val="nil"/>
              <w:bottom w:val="single" w:sz="4" w:space="0" w:color="auto"/>
              <w:right w:val="nil"/>
            </w:tcBorders>
            <w:shd w:val="clear" w:color="auto" w:fill="auto"/>
            <w:noWrap/>
            <w:vAlign w:val="bottom"/>
            <w:hideMark/>
          </w:tcPr>
          <w:p w:rsidR="009C5044" w:rsidRPr="009C5044" w:rsidRDefault="009C5044" w:rsidP="00470072">
            <w:pPr>
              <w:spacing w:after="0" w:line="240" w:lineRule="auto"/>
              <w:jc w:val="right"/>
              <w:rPr>
                <w:rFonts w:eastAsia="Times New Roman" w:cs="Calibri"/>
                <w:color w:val="000000"/>
                <w:sz w:val="20"/>
                <w:szCs w:val="20"/>
                <w:lang w:eastAsia="da-DK"/>
              </w:rPr>
            </w:pPr>
            <w:r w:rsidRPr="009C5044">
              <w:rPr>
                <w:rFonts w:eastAsia="Times New Roman" w:cs="Calibri"/>
                <w:color w:val="000000"/>
                <w:sz w:val="20"/>
                <w:szCs w:val="20"/>
                <w:lang w:eastAsia="da-DK"/>
              </w:rPr>
              <w:t>-4,90</w:t>
            </w:r>
          </w:p>
        </w:tc>
        <w:tc>
          <w:tcPr>
            <w:tcW w:w="809" w:type="dxa"/>
            <w:tcBorders>
              <w:top w:val="nil"/>
              <w:left w:val="nil"/>
              <w:bottom w:val="single" w:sz="4" w:space="0" w:color="auto"/>
              <w:right w:val="single" w:sz="4" w:space="0" w:color="auto"/>
            </w:tcBorders>
            <w:shd w:val="clear" w:color="auto" w:fill="auto"/>
            <w:noWrap/>
            <w:vAlign w:val="bottom"/>
            <w:hideMark/>
          </w:tcPr>
          <w:p w:rsidR="009C5044" w:rsidRPr="009C5044" w:rsidRDefault="009C5044" w:rsidP="00470072">
            <w:pPr>
              <w:spacing w:after="0" w:line="240" w:lineRule="auto"/>
              <w:rPr>
                <w:rFonts w:eastAsia="Times New Roman" w:cs="Calibri"/>
                <w:color w:val="000000"/>
                <w:sz w:val="20"/>
                <w:szCs w:val="20"/>
                <w:lang w:eastAsia="da-DK"/>
              </w:rPr>
            </w:pPr>
            <w:r w:rsidRPr="009C5044">
              <w:rPr>
                <w:rFonts w:eastAsia="Times New Roman" w:cs="Calibri"/>
                <w:color w:val="000000"/>
                <w:sz w:val="20"/>
                <w:szCs w:val="20"/>
                <w:lang w:eastAsia="da-DK"/>
              </w:rPr>
              <w:t>mia. kr.</w:t>
            </w:r>
          </w:p>
        </w:tc>
      </w:tr>
      <w:tr w:rsidR="009C5044" w:rsidRPr="009C5044" w:rsidTr="00157C04">
        <w:trPr>
          <w:trHeight w:val="244"/>
        </w:trPr>
        <w:tc>
          <w:tcPr>
            <w:tcW w:w="2849" w:type="dxa"/>
            <w:tcBorders>
              <w:top w:val="nil"/>
              <w:left w:val="nil"/>
              <w:bottom w:val="nil"/>
              <w:right w:val="nil"/>
            </w:tcBorders>
            <w:shd w:val="clear" w:color="auto" w:fill="auto"/>
            <w:noWrap/>
            <w:vAlign w:val="bottom"/>
            <w:hideMark/>
          </w:tcPr>
          <w:p w:rsidR="009C5044" w:rsidRPr="009C5044" w:rsidRDefault="009C5044" w:rsidP="009C5044">
            <w:pPr>
              <w:spacing w:after="0" w:line="240" w:lineRule="auto"/>
              <w:rPr>
                <w:rFonts w:eastAsia="Times New Roman" w:cs="Calibri"/>
                <w:i/>
                <w:iCs/>
                <w:color w:val="000000"/>
                <w:sz w:val="19"/>
                <w:szCs w:val="19"/>
                <w:lang w:eastAsia="da-DK"/>
              </w:rPr>
            </w:pPr>
            <w:r w:rsidRPr="009C5044">
              <w:rPr>
                <w:rFonts w:eastAsia="Times New Roman" w:cs="Calibri"/>
                <w:i/>
                <w:iCs/>
                <w:color w:val="000000"/>
                <w:sz w:val="19"/>
                <w:szCs w:val="19"/>
                <w:lang w:eastAsia="da-DK"/>
              </w:rPr>
              <w:t>Kilde: dst.dk</w:t>
            </w:r>
          </w:p>
        </w:tc>
        <w:tc>
          <w:tcPr>
            <w:tcW w:w="777" w:type="dxa"/>
            <w:tcBorders>
              <w:top w:val="nil"/>
              <w:left w:val="nil"/>
              <w:bottom w:val="nil"/>
              <w:right w:val="nil"/>
            </w:tcBorders>
            <w:shd w:val="clear" w:color="auto" w:fill="auto"/>
            <w:noWrap/>
            <w:vAlign w:val="bottom"/>
            <w:hideMark/>
          </w:tcPr>
          <w:p w:rsidR="009C5044" w:rsidRPr="009C5044" w:rsidRDefault="009C5044" w:rsidP="009C5044">
            <w:pPr>
              <w:spacing w:after="0" w:line="240" w:lineRule="auto"/>
              <w:rPr>
                <w:rFonts w:eastAsia="Times New Roman" w:cs="Calibri"/>
                <w:color w:val="000000"/>
                <w:lang w:eastAsia="da-DK"/>
              </w:rPr>
            </w:pPr>
          </w:p>
        </w:tc>
        <w:tc>
          <w:tcPr>
            <w:tcW w:w="809" w:type="dxa"/>
            <w:tcBorders>
              <w:top w:val="nil"/>
              <w:left w:val="nil"/>
              <w:bottom w:val="nil"/>
              <w:right w:val="nil"/>
            </w:tcBorders>
            <w:shd w:val="clear" w:color="auto" w:fill="auto"/>
            <w:noWrap/>
            <w:vAlign w:val="bottom"/>
            <w:hideMark/>
          </w:tcPr>
          <w:p w:rsidR="009C5044" w:rsidRPr="009C5044" w:rsidRDefault="009C5044" w:rsidP="009C5044">
            <w:pPr>
              <w:spacing w:after="0" w:line="240" w:lineRule="auto"/>
              <w:rPr>
                <w:rFonts w:eastAsia="Times New Roman" w:cs="Calibri"/>
                <w:color w:val="000000"/>
                <w:lang w:eastAsia="da-DK"/>
              </w:rPr>
            </w:pPr>
          </w:p>
        </w:tc>
      </w:tr>
    </w:tbl>
    <w:p w:rsidR="00440E5B" w:rsidRDefault="00440E5B" w:rsidP="00316C29"/>
    <w:p w:rsidR="00AF4F74" w:rsidRDefault="001D4278" w:rsidP="00316C29">
      <w:r>
        <w:br w:type="page"/>
      </w:r>
    </w:p>
    <w:tbl>
      <w:tblPr>
        <w:tblW w:w="6820" w:type="dxa"/>
        <w:tblInd w:w="55" w:type="dxa"/>
        <w:tblCellMar>
          <w:left w:w="70" w:type="dxa"/>
          <w:right w:w="70" w:type="dxa"/>
        </w:tblCellMar>
        <w:tblLook w:val="04A0" w:firstRow="1" w:lastRow="0" w:firstColumn="1" w:lastColumn="0" w:noHBand="0" w:noVBand="1"/>
      </w:tblPr>
      <w:tblGrid>
        <w:gridCol w:w="1946"/>
        <w:gridCol w:w="1335"/>
        <w:gridCol w:w="1102"/>
        <w:gridCol w:w="1335"/>
        <w:gridCol w:w="1102"/>
      </w:tblGrid>
      <w:tr w:rsidR="007E0AC4" w:rsidRPr="007E0AC4" w:rsidTr="007E0AC4">
        <w:trPr>
          <w:trHeight w:val="660"/>
        </w:trPr>
        <w:tc>
          <w:tcPr>
            <w:tcW w:w="6820" w:type="dxa"/>
            <w:gridSpan w:val="5"/>
            <w:tcBorders>
              <w:top w:val="single" w:sz="4" w:space="0" w:color="auto"/>
              <w:left w:val="single" w:sz="4" w:space="0" w:color="auto"/>
              <w:bottom w:val="nil"/>
              <w:right w:val="single" w:sz="4" w:space="0" w:color="000000"/>
            </w:tcBorders>
            <w:shd w:val="clear" w:color="000000" w:fill="003865"/>
            <w:vAlign w:val="center"/>
            <w:hideMark/>
          </w:tcPr>
          <w:p w:rsidR="007E0AC4" w:rsidRPr="007E0AC4" w:rsidRDefault="00EC771F" w:rsidP="007E0AC4">
            <w:pPr>
              <w:spacing w:after="0" w:line="240" w:lineRule="auto"/>
              <w:rPr>
                <w:rFonts w:eastAsia="Times New Roman" w:cs="Calibri"/>
                <w:color w:val="FFFFFF"/>
                <w:lang w:eastAsia="da-DK"/>
              </w:rPr>
            </w:pPr>
            <w:r>
              <w:rPr>
                <w:rFonts w:eastAsia="Times New Roman" w:cs="Calibri"/>
                <w:color w:val="FFFFFF"/>
                <w:lang w:eastAsia="da-DK"/>
              </w:rPr>
              <w:t>Bilag 2</w:t>
            </w:r>
            <w:r w:rsidR="007E0AC4" w:rsidRPr="007E0AC4">
              <w:rPr>
                <w:rFonts w:eastAsia="Times New Roman" w:cs="Calibri"/>
                <w:color w:val="FFFFFF"/>
                <w:lang w:eastAsia="da-DK"/>
              </w:rPr>
              <w:t>. De enkelte kommuners budgetoverholdelse i 2016 og 2017 målt på nettodriftsudgifter</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2437" w:type="dxa"/>
            <w:gridSpan w:val="2"/>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i/>
                <w:iCs/>
                <w:color w:val="000000"/>
                <w:sz w:val="20"/>
                <w:szCs w:val="20"/>
                <w:lang w:eastAsia="da-DK"/>
              </w:rPr>
            </w:pPr>
            <w:r w:rsidRPr="007E0AC4">
              <w:rPr>
                <w:rFonts w:eastAsia="Times New Roman" w:cs="Calibri"/>
                <w:i/>
                <w:iCs/>
                <w:color w:val="000000"/>
                <w:sz w:val="20"/>
                <w:szCs w:val="20"/>
                <w:lang w:eastAsia="da-DK"/>
              </w:rPr>
              <w:t>2016</w:t>
            </w:r>
          </w:p>
        </w:tc>
        <w:tc>
          <w:tcPr>
            <w:tcW w:w="2437" w:type="dxa"/>
            <w:gridSpan w:val="2"/>
            <w:tcBorders>
              <w:top w:val="nil"/>
              <w:left w:val="nil"/>
              <w:bottom w:val="nil"/>
              <w:right w:val="single" w:sz="4" w:space="0" w:color="000000"/>
            </w:tcBorders>
            <w:shd w:val="clear" w:color="000000" w:fill="FFFFFF"/>
            <w:noWrap/>
            <w:vAlign w:val="bottom"/>
            <w:hideMark/>
          </w:tcPr>
          <w:p w:rsidR="007E0AC4" w:rsidRPr="007E0AC4" w:rsidRDefault="007E0AC4" w:rsidP="007E0AC4">
            <w:pPr>
              <w:spacing w:after="0" w:line="240" w:lineRule="auto"/>
              <w:jc w:val="center"/>
              <w:rPr>
                <w:rFonts w:eastAsia="Times New Roman" w:cs="Calibri"/>
                <w:i/>
                <w:iCs/>
                <w:color w:val="000000"/>
                <w:sz w:val="20"/>
                <w:szCs w:val="20"/>
                <w:lang w:eastAsia="da-DK"/>
              </w:rPr>
            </w:pPr>
            <w:r w:rsidRPr="007E0AC4">
              <w:rPr>
                <w:rFonts w:eastAsia="Times New Roman" w:cs="Calibri"/>
                <w:i/>
                <w:iCs/>
                <w:color w:val="000000"/>
                <w:sz w:val="20"/>
                <w:szCs w:val="20"/>
                <w:lang w:eastAsia="da-DK"/>
              </w:rPr>
              <w:t>2017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xml:space="preserve">Abs. </w:t>
            </w:r>
            <w:proofErr w:type="spellStart"/>
            <w:r w:rsidRPr="007E0AC4">
              <w:rPr>
                <w:rFonts w:eastAsia="Times New Roman" w:cs="Calibri"/>
                <w:color w:val="000000"/>
                <w:sz w:val="20"/>
                <w:szCs w:val="20"/>
                <w:lang w:eastAsia="da-DK"/>
              </w:rPr>
              <w:t>Oversk</w:t>
            </w:r>
            <w:proofErr w:type="spellEnd"/>
            <w:r w:rsidRPr="007E0AC4">
              <w:rPr>
                <w:rFonts w:eastAsia="Times New Roman" w:cs="Calibri"/>
                <w:color w:val="000000"/>
                <w:sz w:val="20"/>
                <w:szCs w:val="20"/>
                <w:lang w:eastAsia="da-DK"/>
              </w:rPr>
              <w:t>.</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Pct. overs.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xml:space="preserve">Abs. </w:t>
            </w:r>
            <w:proofErr w:type="spellStart"/>
            <w:r w:rsidRPr="007E0AC4">
              <w:rPr>
                <w:rFonts w:eastAsia="Times New Roman" w:cs="Calibri"/>
                <w:color w:val="000000"/>
                <w:sz w:val="20"/>
                <w:szCs w:val="20"/>
                <w:lang w:eastAsia="da-DK"/>
              </w:rPr>
              <w:t>Oversk</w:t>
            </w:r>
            <w:proofErr w:type="spellEnd"/>
            <w:r w:rsidRPr="007E0AC4">
              <w:rPr>
                <w:rFonts w:eastAsia="Times New Roman" w:cs="Calibri"/>
                <w:color w:val="000000"/>
                <w:sz w:val="20"/>
                <w:szCs w:val="20"/>
                <w:lang w:eastAsia="da-DK"/>
              </w:rPr>
              <w:t>.</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Pct. overs.</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Albertslund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22418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11265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Allerød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-44073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-3,24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-54058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Assens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2807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3154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Ballerup</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-80294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14095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0,39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Billund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-68617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-4,07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-16583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-0,96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Bornholm</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-101057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-5499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Brøndby</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-84301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-99207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-3,59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Brønderslev</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-57177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-44221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Dragør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97487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13,95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-6678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Egedal</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-66193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-69684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Esbjerg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-296738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-4,12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-151055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Fanø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-543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10407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Favrskov</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-130887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-104349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Faxe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-44874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-39466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Fredensborg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-110471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-4,41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4863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Fredericia</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-102111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-29890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Frederiksberg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-115993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-176306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-3,04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Frederikshavn</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-6845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-3753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Frederikssund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80170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-17103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Furesø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19933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-46734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Faaborg-Midtfyn</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-56204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-13158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Gentofte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-82788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-176359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Gladsaxe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-71414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-146464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-3,28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Glostrup</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616</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-23249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Greve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-107284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73081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Gribskov</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-47149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-3956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Guldborgsund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-19651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-2537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Haderslev</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-86860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-31852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Halsnæs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-21108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-12028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Hedensted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-28931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86770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3,34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Helsingør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-2536</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-65813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Herlev</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-24550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38265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Herning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-219782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-4,36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11674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Hillerød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-39707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-111853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Hjørring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-67416</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-51552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-1,25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Holbæk</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175525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4,23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-62090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Holstebro</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-61367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-659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Horsens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45499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-178466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-3,34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Hvidovre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-5635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-22204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Høje-Taastrup</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21801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-7610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Hørsholm</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14627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-33418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Ikast-Brande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-85269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-77517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Ishøj</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-57152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-26065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Jammerbugt</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-26839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-41633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Kalundborg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-138153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-4,35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-68656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Kerteminde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-25309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16209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Kolding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-53308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-0,98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7132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København</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-1615884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-4,29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-1172368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-3,09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Køge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-179234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-84298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Langeland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-65875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-6,92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-955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Lejre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-8923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-12210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-0,78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Lemvig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-27113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-29721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-2,39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Lolland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4315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-38224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Lyngby-Taarbæk</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-154724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-4,81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-62383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Læsø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2893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-11162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-6,25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Mariagerfjord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67769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51594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Middelfart</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-10400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-0,48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-26293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Morsø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47575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-8603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Norddjurs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-8659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-0,37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27995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Nordfyns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-11898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-37009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Nyborg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-138053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-6,54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-14254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Næstved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-118944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-153963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Odder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-7626</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-37687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Odense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-341615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-393650</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Odsherred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-34701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-30618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Randers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-24047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-39649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Rebild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-29462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-457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Ringkøbing-Skjern</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-6808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-51321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Ringsted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-30053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-42223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-1,98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Roskilde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-33807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-32067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Rudersdal</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-24370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-0,76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-8949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-0,28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Rødovre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-47934</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4291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Samsø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1750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-42846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-14,86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Silkeborg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-98491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51575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0,95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Skanderborg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-29257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-92113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Skive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-84782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-2,92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-21811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-0,74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Slagelse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139752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2,87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-6651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Solrød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-86382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-7,39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-81801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Sorø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30423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3108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Stevns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-7187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-21347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Struer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-43439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-3,18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-65552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-4,75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Svendborg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-378</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-0,01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44698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1,22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Syddjurs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-46597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-62914</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-2,46</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Sønderborg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22052</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0,46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27909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Thisted</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-94591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-3,49</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16535</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Tønder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-87385</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-3,52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-17721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-0,72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Tårnby</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-16159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-14072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-0,54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Vallensbæk</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-8421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-0,96</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24207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2,72</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Varde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-9803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-0,32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-67312</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-2,23</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Vejen</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-98931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-3,82</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-59821</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-2,29</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Vejle</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-229517</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-3,63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-73926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-1,17</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Vesthimmerlands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3390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0,14</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-41326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-1,74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Viborg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-145660</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-2,57</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-87157</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-1,51</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Vordingborg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-18361</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-0,65</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-25333</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-0,88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Ærø</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-11669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-2,68</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18229</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Aabenraa</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-97429</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-101156</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-2,68</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Aalborg</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-53253</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-0,43</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-18688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-0,15</w:t>
            </w:r>
          </w:p>
        </w:tc>
      </w:tr>
      <w:tr w:rsidR="007E0AC4" w:rsidRPr="007E0AC4" w:rsidTr="007E0AC4">
        <w:trPr>
          <w:trHeight w:val="300"/>
        </w:trPr>
        <w:tc>
          <w:tcPr>
            <w:tcW w:w="1946"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Aarhus</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-402276</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-2,01</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-233418</w:t>
            </w:r>
          </w:p>
        </w:tc>
        <w:tc>
          <w:tcPr>
            <w:tcW w:w="1102"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-1,22</w:t>
            </w:r>
          </w:p>
        </w:tc>
      </w:tr>
      <w:tr w:rsidR="007E0AC4" w:rsidRPr="007E0AC4" w:rsidTr="007E0AC4">
        <w:trPr>
          <w:trHeight w:val="300"/>
        </w:trPr>
        <w:tc>
          <w:tcPr>
            <w:tcW w:w="1946" w:type="dxa"/>
            <w:tcBorders>
              <w:top w:val="nil"/>
              <w:left w:val="single" w:sz="4" w:space="0" w:color="auto"/>
              <w:bottom w:val="single" w:sz="4" w:space="0" w:color="auto"/>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Hele landet</w:t>
            </w:r>
          </w:p>
        </w:tc>
        <w:tc>
          <w:tcPr>
            <w:tcW w:w="1335"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-6427882</w:t>
            </w:r>
          </w:p>
        </w:tc>
        <w:tc>
          <w:tcPr>
            <w:tcW w:w="1102"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-1,83</w:t>
            </w:r>
          </w:p>
        </w:tc>
        <w:tc>
          <w:tcPr>
            <w:tcW w:w="1335"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-4897698</w:t>
            </w:r>
          </w:p>
        </w:tc>
        <w:tc>
          <w:tcPr>
            <w:tcW w:w="1102" w:type="dxa"/>
            <w:tcBorders>
              <w:top w:val="nil"/>
              <w:left w:val="nil"/>
              <w:bottom w:val="single" w:sz="4" w:space="0" w:color="auto"/>
              <w:right w:val="single" w:sz="4" w:space="0" w:color="auto"/>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-1,38</w:t>
            </w:r>
          </w:p>
        </w:tc>
      </w:tr>
      <w:tr w:rsidR="007E0AC4" w:rsidRPr="007E0AC4" w:rsidTr="007E0AC4">
        <w:trPr>
          <w:trHeight w:val="300"/>
        </w:trPr>
        <w:tc>
          <w:tcPr>
            <w:tcW w:w="5718" w:type="dxa"/>
            <w:gridSpan w:val="4"/>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Anm: Et positivt tal betyder, at kommunen overskrider budgettet.</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r w:rsidR="007E0AC4" w:rsidRPr="007E0AC4" w:rsidTr="007E0AC4">
        <w:trPr>
          <w:trHeight w:val="300"/>
        </w:trPr>
        <w:tc>
          <w:tcPr>
            <w:tcW w:w="4383" w:type="dxa"/>
            <w:gridSpan w:val="3"/>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Anm: De absolutte tal er i tusinde kroner.</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r w:rsidR="007E0AC4" w:rsidRPr="007E0AC4" w:rsidTr="007E0AC4">
        <w:trPr>
          <w:trHeight w:val="300"/>
        </w:trPr>
        <w:tc>
          <w:tcPr>
            <w:tcW w:w="1946"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Kilde: dst.dk</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335"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102"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bl>
    <w:p w:rsidR="00AF4F74" w:rsidRDefault="00AF4F74" w:rsidP="00316C29"/>
    <w:tbl>
      <w:tblPr>
        <w:tblW w:w="6680" w:type="dxa"/>
        <w:tblInd w:w="55" w:type="dxa"/>
        <w:tblCellMar>
          <w:left w:w="70" w:type="dxa"/>
          <w:right w:w="70" w:type="dxa"/>
        </w:tblCellMar>
        <w:tblLook w:val="04A0" w:firstRow="1" w:lastRow="0" w:firstColumn="1" w:lastColumn="0" w:noHBand="0" w:noVBand="1"/>
      </w:tblPr>
      <w:tblGrid>
        <w:gridCol w:w="1908"/>
        <w:gridCol w:w="1307"/>
        <w:gridCol w:w="1079"/>
        <w:gridCol w:w="1307"/>
        <w:gridCol w:w="1079"/>
      </w:tblGrid>
      <w:tr w:rsidR="007E0AC4" w:rsidRPr="007E0AC4" w:rsidTr="007E0AC4">
        <w:trPr>
          <w:trHeight w:val="615"/>
        </w:trPr>
        <w:tc>
          <w:tcPr>
            <w:tcW w:w="6680" w:type="dxa"/>
            <w:gridSpan w:val="5"/>
            <w:tcBorders>
              <w:top w:val="single" w:sz="4" w:space="0" w:color="auto"/>
              <w:left w:val="single" w:sz="4" w:space="0" w:color="auto"/>
              <w:bottom w:val="nil"/>
              <w:right w:val="single" w:sz="4" w:space="0" w:color="000000"/>
            </w:tcBorders>
            <w:shd w:val="clear" w:color="000000" w:fill="003865"/>
            <w:vAlign w:val="center"/>
            <w:hideMark/>
          </w:tcPr>
          <w:p w:rsidR="007E0AC4" w:rsidRPr="007E0AC4" w:rsidRDefault="00EC771F" w:rsidP="007E0AC4">
            <w:pPr>
              <w:spacing w:after="0" w:line="240" w:lineRule="auto"/>
              <w:rPr>
                <w:rFonts w:eastAsia="Times New Roman" w:cs="Calibri"/>
                <w:color w:val="FFFFFF"/>
                <w:lang w:eastAsia="da-DK"/>
              </w:rPr>
            </w:pPr>
            <w:r>
              <w:rPr>
                <w:rFonts w:eastAsia="Times New Roman" w:cs="Calibri"/>
                <w:color w:val="FFFFFF"/>
                <w:lang w:eastAsia="da-DK"/>
              </w:rPr>
              <w:t>Bilag 3</w:t>
            </w:r>
            <w:r w:rsidR="007E0AC4" w:rsidRPr="007E0AC4">
              <w:rPr>
                <w:rFonts w:eastAsia="Times New Roman" w:cs="Calibri"/>
                <w:color w:val="FFFFFF"/>
                <w:lang w:eastAsia="da-DK"/>
              </w:rPr>
              <w:t>. De enkelte kommuners budgetoverholdelse i 2016 og 2017 målt på serviceudgifter</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2386" w:type="dxa"/>
            <w:gridSpan w:val="2"/>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2016</w:t>
            </w:r>
          </w:p>
        </w:tc>
        <w:tc>
          <w:tcPr>
            <w:tcW w:w="2386" w:type="dxa"/>
            <w:gridSpan w:val="2"/>
            <w:tcBorders>
              <w:top w:val="nil"/>
              <w:left w:val="nil"/>
              <w:bottom w:val="nil"/>
              <w:right w:val="single" w:sz="4" w:space="0" w:color="000000"/>
            </w:tcBorders>
            <w:shd w:val="clear" w:color="000000" w:fill="FFFFFF"/>
            <w:noWrap/>
            <w:vAlign w:val="bottom"/>
            <w:hideMark/>
          </w:tcPr>
          <w:p w:rsidR="007E0AC4" w:rsidRPr="007E0AC4" w:rsidRDefault="007E0AC4" w:rsidP="007E0AC4">
            <w:pPr>
              <w:spacing w:after="0" w:line="240" w:lineRule="auto"/>
              <w:jc w:val="center"/>
              <w:rPr>
                <w:rFonts w:eastAsia="Times New Roman" w:cs="Calibri"/>
                <w:color w:val="000000"/>
                <w:sz w:val="20"/>
                <w:szCs w:val="20"/>
                <w:lang w:eastAsia="da-DK"/>
              </w:rPr>
            </w:pPr>
            <w:r w:rsidRPr="007E0AC4">
              <w:rPr>
                <w:rFonts w:eastAsia="Times New Roman" w:cs="Calibri"/>
                <w:color w:val="000000"/>
                <w:sz w:val="20"/>
                <w:szCs w:val="20"/>
                <w:lang w:eastAsia="da-DK"/>
              </w:rPr>
              <w:t>2017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xml:space="preserve">Abs. </w:t>
            </w:r>
            <w:proofErr w:type="spellStart"/>
            <w:r w:rsidRPr="007E0AC4">
              <w:rPr>
                <w:rFonts w:eastAsia="Times New Roman" w:cs="Calibri"/>
                <w:color w:val="000000"/>
                <w:sz w:val="20"/>
                <w:szCs w:val="20"/>
                <w:lang w:eastAsia="da-DK"/>
              </w:rPr>
              <w:t>Oversk</w:t>
            </w:r>
            <w:proofErr w:type="spellEnd"/>
            <w:r w:rsidRPr="007E0AC4">
              <w:rPr>
                <w:rFonts w:eastAsia="Times New Roman" w:cs="Calibri"/>
                <w:color w:val="000000"/>
                <w:sz w:val="20"/>
                <w:szCs w:val="20"/>
                <w:lang w:eastAsia="da-DK"/>
              </w:rPr>
              <w:t>.</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Pct. overs.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xml:space="preserve">Abs. </w:t>
            </w:r>
            <w:proofErr w:type="spellStart"/>
            <w:r w:rsidRPr="007E0AC4">
              <w:rPr>
                <w:rFonts w:eastAsia="Times New Roman" w:cs="Calibri"/>
                <w:color w:val="000000"/>
                <w:sz w:val="20"/>
                <w:szCs w:val="20"/>
                <w:lang w:eastAsia="da-DK"/>
              </w:rPr>
              <w:t>Oversk</w:t>
            </w:r>
            <w:proofErr w:type="spellEnd"/>
            <w:r w:rsidRPr="007E0AC4">
              <w:rPr>
                <w:rFonts w:eastAsia="Times New Roman" w:cs="Calibri"/>
                <w:color w:val="000000"/>
                <w:sz w:val="20"/>
                <w:szCs w:val="20"/>
                <w:lang w:eastAsia="da-DK"/>
              </w:rPr>
              <w:t>.</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Pct. overs.</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Albertslund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-13953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17627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Allerød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-39869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-10666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-0,98</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Assens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-17283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-2625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Ballerup</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-21760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483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-0,88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Billund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5567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5316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Bornholm</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-8735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27798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Brøndby</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-46507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-44863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Brønderslev</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-9223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-2354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Dragør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-7787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-381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Egedal</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2294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2112</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Esbjerg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-128984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-24981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Fanø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8312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10421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5,61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6,81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Favrskov</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-18541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-40123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Faxe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-31602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-2728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Fredensborg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-18058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16215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0,89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Fredericia</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-14274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22141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Frederiksberg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-56409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-61565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Frederikshavn</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2215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3759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Frederikssund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-19782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-21334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Furesø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15805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-19433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0,88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Faaborg-Midtfyn</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-27846</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11568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Gentofte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-24866</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-24791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Gladsaxe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-75562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-52850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Glostrup</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-5449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-6576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Greve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-930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-598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Gribskov</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-10437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49590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Guldborgsund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-48997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8817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Haderslev</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-56183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-19729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-0,83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Halsnæs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-5698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Hedensted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51401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62053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3,42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Helsingør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33743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59549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2,08</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Herlev</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26025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47691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Herning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-80604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9969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0,29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Hillerød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-15312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-8047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Hjørring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-37148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-10244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Holbæk</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25577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-63621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Holstebro</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-81153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-26561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Horsens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-6213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-57509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Hvidovre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3248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14320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Høje-Taastrup</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11613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36851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Hørsholm</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-3277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6103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Ikast-Brande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-72544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-28277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-4,27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Ishøj</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-33627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-21071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Jammerbugt</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14929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20186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Kalundborg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-77434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-35858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Kerteminde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-25771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-1818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-0,18</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Kolding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21615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60685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København</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-541088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-350657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Køge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-12713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26313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Langeland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-25242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8998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-4,01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Lejre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10409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-6589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Lemvig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-30607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-26278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-2,99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Lolland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-47443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8912</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Lyngby-Taarbæk</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23139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24184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Læsø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4682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Mariagerfjord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-11082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-11397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Middelfart</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-20811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-11229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Morsø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-26563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-976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Norddjurs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-7157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6498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Nordfyns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-11121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-28666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Nyborg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-43875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-3751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-3,32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-0,28</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Næstved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-47381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-2239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Odder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-23092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-30570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-3,38</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Odense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-72544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-136030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Odsherred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-15786</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-7759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Randers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37007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14273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Rebild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-17595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17331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1,44</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Ringkøbing-Skjern</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-10001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9559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Ringsted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-35935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-36465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Roskilde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21195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-2507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Rudersdal</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16795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-494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Rødovre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-2612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26895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Samsø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3799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-31961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-14,67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Silkeborg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-67943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-65629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Skanderborg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-22747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-66875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Skive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-1479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-9649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Slagelse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41070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24795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Solrød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-11648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-6326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Sorø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-11166</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-16315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-0,93</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Stevns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-11803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-7868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Struer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3490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-431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Svendborg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8945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21304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0,86</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Syddjurs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-3124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6405</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Sønderborg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7970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13270</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0,26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0,41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Thisted</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-40542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10813</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-2,24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0,59</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Tønder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-60333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457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0,03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Tårnby</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-27758</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-29294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Vallensbæk</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-6235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3542</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-0,95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Varde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13404</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-14757</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0,65</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Vejen</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-30401</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-30936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-1,71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Vejle</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-116842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-82021</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-2,79</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-1,91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Vesthimmerlands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-20275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-12399</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-1,21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-0,75</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Viborg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-106580</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-56994</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-2,88</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-1,51</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Vordingborg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-1823</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21396</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Ærø</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-4695</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-24302</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-1,51</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-7,32</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Aabenraa</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-14862</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-29608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-0,6</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-1,17</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Aalborg</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-16497</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-25982</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-0,2</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-0,3</w:t>
            </w:r>
          </w:p>
        </w:tc>
      </w:tr>
      <w:tr w:rsidR="007E0AC4" w:rsidRPr="007E0AC4" w:rsidTr="007E0AC4">
        <w:trPr>
          <w:trHeight w:val="300"/>
        </w:trPr>
        <w:tc>
          <w:tcPr>
            <w:tcW w:w="1908" w:type="dxa"/>
            <w:tcBorders>
              <w:top w:val="nil"/>
              <w:left w:val="single" w:sz="4" w:space="0" w:color="auto"/>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Aarhus</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-473739</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-303218</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-3,74</w:t>
            </w:r>
          </w:p>
        </w:tc>
        <w:tc>
          <w:tcPr>
            <w:tcW w:w="1079" w:type="dxa"/>
            <w:tcBorders>
              <w:top w:val="nil"/>
              <w:left w:val="nil"/>
              <w:bottom w:val="nil"/>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-2,33</w:t>
            </w:r>
          </w:p>
        </w:tc>
      </w:tr>
      <w:tr w:rsidR="007E0AC4" w:rsidRPr="007E0AC4" w:rsidTr="007E0AC4">
        <w:trPr>
          <w:trHeight w:val="300"/>
        </w:trPr>
        <w:tc>
          <w:tcPr>
            <w:tcW w:w="1908" w:type="dxa"/>
            <w:tcBorders>
              <w:top w:val="nil"/>
              <w:left w:val="single" w:sz="4" w:space="0" w:color="auto"/>
              <w:bottom w:val="single" w:sz="4" w:space="0" w:color="auto"/>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Hele landet</w:t>
            </w:r>
          </w:p>
        </w:tc>
        <w:tc>
          <w:tcPr>
            <w:tcW w:w="1307"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-2780709</w:t>
            </w:r>
          </w:p>
        </w:tc>
        <w:tc>
          <w:tcPr>
            <w:tcW w:w="1079"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-1320312</w:t>
            </w:r>
          </w:p>
        </w:tc>
        <w:tc>
          <w:tcPr>
            <w:tcW w:w="1307" w:type="dxa"/>
            <w:tcBorders>
              <w:top w:val="nil"/>
              <w:left w:val="nil"/>
              <w:bottom w:val="single" w:sz="4" w:space="0" w:color="auto"/>
              <w:right w:val="nil"/>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-1,17</w:t>
            </w:r>
          </w:p>
        </w:tc>
        <w:tc>
          <w:tcPr>
            <w:tcW w:w="1079" w:type="dxa"/>
            <w:tcBorders>
              <w:top w:val="nil"/>
              <w:left w:val="nil"/>
              <w:bottom w:val="single" w:sz="4" w:space="0" w:color="auto"/>
              <w:right w:val="single" w:sz="4" w:space="0" w:color="auto"/>
            </w:tcBorders>
            <w:shd w:val="clear" w:color="000000" w:fill="FFFFFF"/>
            <w:noWrap/>
            <w:vAlign w:val="bottom"/>
            <w:hideMark/>
          </w:tcPr>
          <w:p w:rsidR="007E0AC4" w:rsidRPr="007E0AC4" w:rsidRDefault="007E0AC4" w:rsidP="007E0AC4">
            <w:pPr>
              <w:spacing w:after="0" w:line="240" w:lineRule="auto"/>
              <w:jc w:val="right"/>
              <w:rPr>
                <w:rFonts w:eastAsia="Times New Roman" w:cs="Calibri"/>
                <w:color w:val="000000"/>
                <w:sz w:val="20"/>
                <w:szCs w:val="20"/>
                <w:lang w:eastAsia="da-DK"/>
              </w:rPr>
            </w:pPr>
            <w:r w:rsidRPr="007E0AC4">
              <w:rPr>
                <w:rFonts w:eastAsia="Times New Roman" w:cs="Calibri"/>
                <w:color w:val="000000"/>
                <w:sz w:val="20"/>
                <w:szCs w:val="20"/>
                <w:lang w:eastAsia="da-DK"/>
              </w:rPr>
              <w:t>-0,55</w:t>
            </w:r>
          </w:p>
        </w:tc>
      </w:tr>
      <w:tr w:rsidR="007E0AC4" w:rsidRPr="007E0AC4" w:rsidTr="007E0AC4">
        <w:trPr>
          <w:trHeight w:val="300"/>
        </w:trPr>
        <w:tc>
          <w:tcPr>
            <w:tcW w:w="5601" w:type="dxa"/>
            <w:gridSpan w:val="4"/>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Anm: Et positivt tal betyder, at kommunen overskrider budgettet.</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r w:rsidR="007E0AC4" w:rsidRPr="007E0AC4" w:rsidTr="007E0AC4">
        <w:trPr>
          <w:trHeight w:val="300"/>
        </w:trPr>
        <w:tc>
          <w:tcPr>
            <w:tcW w:w="4294" w:type="dxa"/>
            <w:gridSpan w:val="3"/>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Anm: De absolutte tal er i tusinde kroner.</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r w:rsidR="007E0AC4" w:rsidRPr="007E0AC4" w:rsidTr="007E0AC4">
        <w:trPr>
          <w:trHeight w:val="300"/>
        </w:trPr>
        <w:tc>
          <w:tcPr>
            <w:tcW w:w="1908"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i/>
                <w:iCs/>
                <w:color w:val="000000"/>
                <w:sz w:val="19"/>
                <w:szCs w:val="19"/>
                <w:lang w:eastAsia="da-DK"/>
              </w:rPr>
            </w:pPr>
            <w:r w:rsidRPr="007E0AC4">
              <w:rPr>
                <w:rFonts w:eastAsia="Times New Roman" w:cs="Calibri"/>
                <w:i/>
                <w:iCs/>
                <w:color w:val="000000"/>
                <w:sz w:val="19"/>
                <w:szCs w:val="19"/>
                <w:lang w:eastAsia="da-DK"/>
              </w:rPr>
              <w:t>Kilde: dst.dk</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307"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c>
          <w:tcPr>
            <w:tcW w:w="1079" w:type="dxa"/>
            <w:tcBorders>
              <w:top w:val="nil"/>
              <w:left w:val="nil"/>
              <w:bottom w:val="nil"/>
              <w:right w:val="nil"/>
            </w:tcBorders>
            <w:shd w:val="clear" w:color="000000" w:fill="FFFFFF"/>
            <w:noWrap/>
            <w:vAlign w:val="bottom"/>
            <w:hideMark/>
          </w:tcPr>
          <w:p w:rsidR="007E0AC4" w:rsidRPr="007E0AC4" w:rsidRDefault="007E0AC4" w:rsidP="007E0AC4">
            <w:pPr>
              <w:spacing w:after="0" w:line="240" w:lineRule="auto"/>
              <w:rPr>
                <w:rFonts w:eastAsia="Times New Roman" w:cs="Calibri"/>
                <w:color w:val="000000"/>
                <w:sz w:val="20"/>
                <w:szCs w:val="20"/>
                <w:lang w:eastAsia="da-DK"/>
              </w:rPr>
            </w:pPr>
            <w:r w:rsidRPr="007E0AC4">
              <w:rPr>
                <w:rFonts w:eastAsia="Times New Roman" w:cs="Calibri"/>
                <w:color w:val="000000"/>
                <w:sz w:val="20"/>
                <w:szCs w:val="20"/>
                <w:lang w:eastAsia="da-DK"/>
              </w:rPr>
              <w:t> </w:t>
            </w:r>
          </w:p>
        </w:tc>
      </w:tr>
    </w:tbl>
    <w:p w:rsidR="00154740" w:rsidRDefault="00154740" w:rsidP="00316C29"/>
    <w:p w:rsidR="00EC771F" w:rsidRDefault="00EC771F" w:rsidP="00316C29"/>
    <w:p w:rsidR="00EC771F" w:rsidRDefault="00EC771F" w:rsidP="00316C29"/>
    <w:p w:rsidR="00EC771F" w:rsidRDefault="00EC771F" w:rsidP="00316C29"/>
    <w:p w:rsidR="00EC771F" w:rsidRDefault="00EC771F" w:rsidP="00316C29"/>
    <w:tbl>
      <w:tblPr>
        <w:tblpPr w:leftFromText="141" w:rightFromText="141" w:horzAnchor="margin" w:tblpXSpec="center" w:tblpY="-203"/>
        <w:tblW w:w="10367" w:type="dxa"/>
        <w:tblCellMar>
          <w:left w:w="70" w:type="dxa"/>
          <w:right w:w="70" w:type="dxa"/>
        </w:tblCellMar>
        <w:tblLook w:val="04A0" w:firstRow="1" w:lastRow="0" w:firstColumn="1" w:lastColumn="0" w:noHBand="0" w:noVBand="1"/>
      </w:tblPr>
      <w:tblGrid>
        <w:gridCol w:w="2050"/>
        <w:gridCol w:w="674"/>
        <w:gridCol w:w="674"/>
        <w:gridCol w:w="656"/>
        <w:gridCol w:w="608"/>
        <w:gridCol w:w="609"/>
        <w:gridCol w:w="742"/>
        <w:gridCol w:w="662"/>
        <w:gridCol w:w="707"/>
        <w:gridCol w:w="662"/>
        <w:gridCol w:w="662"/>
        <w:gridCol w:w="662"/>
        <w:gridCol w:w="670"/>
        <w:gridCol w:w="662"/>
      </w:tblGrid>
      <w:tr w:rsidR="00EC771F" w:rsidRPr="001D4278" w:rsidTr="00805BF1">
        <w:trPr>
          <w:trHeight w:val="95"/>
        </w:trPr>
        <w:tc>
          <w:tcPr>
            <w:tcW w:w="5062" w:type="dxa"/>
            <w:gridSpan w:val="6"/>
            <w:tcBorders>
              <w:top w:val="single" w:sz="4" w:space="0" w:color="auto"/>
              <w:left w:val="single" w:sz="4" w:space="0" w:color="auto"/>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Pr>
                <w:rFonts w:eastAsia="Times New Roman" w:cs="Calibri"/>
                <w:color w:val="FFFFFF"/>
                <w:lang w:eastAsia="da-DK"/>
              </w:rPr>
              <w:t>Bilag 4</w:t>
            </w:r>
            <w:r w:rsidRPr="001D4278">
              <w:rPr>
                <w:rFonts w:eastAsia="Times New Roman" w:cs="Calibri"/>
                <w:color w:val="FFFFFF"/>
                <w:lang w:eastAsia="da-DK"/>
              </w:rPr>
              <w:t xml:space="preserve">. Korrelationsmatrix for </w:t>
            </w:r>
            <w:r w:rsidR="00286363">
              <w:rPr>
                <w:rFonts w:eastAsia="Times New Roman" w:cs="Calibri"/>
                <w:color w:val="FFFFFF"/>
                <w:lang w:eastAsia="da-DK"/>
              </w:rPr>
              <w:t>variablene</w:t>
            </w:r>
          </w:p>
        </w:tc>
        <w:tc>
          <w:tcPr>
            <w:tcW w:w="670"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nil"/>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c>
          <w:tcPr>
            <w:tcW w:w="662" w:type="dxa"/>
            <w:tcBorders>
              <w:top w:val="single" w:sz="4" w:space="0" w:color="auto"/>
              <w:left w:val="nil"/>
              <w:bottom w:val="nil"/>
              <w:right w:val="single" w:sz="4" w:space="0" w:color="auto"/>
            </w:tcBorders>
            <w:shd w:val="clear" w:color="000000" w:fill="003865"/>
            <w:noWrap/>
            <w:vAlign w:val="bottom"/>
            <w:hideMark/>
          </w:tcPr>
          <w:p w:rsidR="00EC771F" w:rsidRPr="001D4278" w:rsidRDefault="00EC771F" w:rsidP="00805BF1">
            <w:pPr>
              <w:spacing w:after="0" w:line="240" w:lineRule="auto"/>
              <w:rPr>
                <w:rFonts w:eastAsia="Times New Roman" w:cs="Calibri"/>
                <w:color w:val="FFFFFF"/>
                <w:lang w:eastAsia="da-DK"/>
              </w:rPr>
            </w:pPr>
            <w:r w:rsidRPr="001D4278">
              <w:rPr>
                <w:rFonts w:eastAsia="Times New Roman" w:cs="Calibri"/>
                <w:color w:val="FFFFFF"/>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ND17</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ND16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S17</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S16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SI</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Beskat</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Borg</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Herfin</w:t>
            </w:r>
            <w:proofErr w:type="spellEnd"/>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Ledig</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Indb</w:t>
            </w:r>
            <w:proofErr w:type="spellEnd"/>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Likv</w:t>
            </w:r>
            <w:proofErr w:type="spellEnd"/>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Udskr</w:t>
            </w:r>
            <w:proofErr w:type="spellEnd"/>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SN</w:t>
            </w:r>
          </w:p>
        </w:tc>
      </w:tr>
      <w:tr w:rsidR="00EC771F" w:rsidRPr="001D4278" w:rsidTr="00805BF1">
        <w:trPr>
          <w:trHeight w:val="286"/>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Nettodrifts budgetoverskridelse 17</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376"/>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Budgetoverskridelse nettodriftsudgifter 17</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0,11</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362"/>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Budgetoverskridelse serviceniveauudgifter 16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0,30</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-0,04</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362"/>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Budgetoverskridelse serviceniveauudgifter 16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0,03</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0,32</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180"/>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Socioøkonomisk indeks</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0,17</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-0,09</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185"/>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Beskatningsgrundlag</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-0,07</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0,03</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-0,03</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0,15</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-0,48</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Borgmester</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0,00</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0,07</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-0,02</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0,05</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-0,31</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0,08</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Herfindahlindeks</w:t>
            </w:r>
            <w:proofErr w:type="spellEnd"/>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0,12</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-0,03</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0,00</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0,11</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0,19</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-0,13</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166"/>
        </w:trPr>
        <w:tc>
          <w:tcPr>
            <w:tcW w:w="1972" w:type="dxa"/>
            <w:tcBorders>
              <w:top w:val="nil"/>
              <w:left w:val="single" w:sz="4" w:space="0" w:color="auto"/>
              <w:bottom w:val="nil"/>
              <w:right w:val="nil"/>
            </w:tcBorders>
            <w:shd w:val="clear" w:color="000000" w:fill="FFFFFF"/>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Ændring i ledighed</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-0,16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-0,26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-0,06</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-0,09</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-0,32</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0,14</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0,14</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-0,15</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Indbyggertal</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-0,08</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0,08</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-0,07</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-0,22</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-0,17</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-0,01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Likviditet</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-0,01</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-0,23</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-0,09</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-0,09</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0,08</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-0,09</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0,14</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-0,22</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0,10</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nil"/>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proofErr w:type="spellStart"/>
            <w:r w:rsidRPr="001D4278">
              <w:rPr>
                <w:rFonts w:eastAsia="Times New Roman" w:cs="Calibri"/>
                <w:color w:val="000000"/>
                <w:sz w:val="20"/>
                <w:szCs w:val="20"/>
                <w:lang w:eastAsia="da-DK"/>
              </w:rPr>
              <w:t>Udskrivningspct</w:t>
            </w:r>
            <w:proofErr w:type="spellEnd"/>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0,12</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56"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0,10</w:t>
            </w:r>
          </w:p>
        </w:tc>
        <w:tc>
          <w:tcPr>
            <w:tcW w:w="608"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-0,10</w:t>
            </w:r>
          </w:p>
        </w:tc>
        <w:tc>
          <w:tcPr>
            <w:tcW w:w="609"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0,18</w:t>
            </w:r>
          </w:p>
        </w:tc>
        <w:tc>
          <w:tcPr>
            <w:tcW w:w="670"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-0,66</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-0,06</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-0,11</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w:t>
            </w:r>
            <w:r>
              <w:rPr>
                <w:rFonts w:eastAsia="Times New Roman" w:cs="Calibri"/>
                <w:color w:val="000000"/>
                <w:sz w:val="20"/>
                <w:szCs w:val="20"/>
                <w:lang w:eastAsia="da-DK"/>
              </w:rPr>
              <w:t>06</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-0,17</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-0,37</w:t>
            </w:r>
          </w:p>
        </w:tc>
        <w:tc>
          <w:tcPr>
            <w:tcW w:w="662" w:type="dxa"/>
            <w:tcBorders>
              <w:top w:val="nil"/>
              <w:left w:val="nil"/>
              <w:bottom w:val="nil"/>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c>
          <w:tcPr>
            <w:tcW w:w="662" w:type="dxa"/>
            <w:tcBorders>
              <w:top w:val="nil"/>
              <w:left w:val="nil"/>
              <w:bottom w:val="nil"/>
              <w:right w:val="single" w:sz="4" w:space="0" w:color="auto"/>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 </w:t>
            </w:r>
          </w:p>
        </w:tc>
      </w:tr>
      <w:tr w:rsidR="00EC771F" w:rsidRPr="001D4278" w:rsidTr="00805BF1">
        <w:trPr>
          <w:trHeight w:val="95"/>
        </w:trPr>
        <w:tc>
          <w:tcPr>
            <w:tcW w:w="1972" w:type="dxa"/>
            <w:tcBorders>
              <w:top w:val="nil"/>
              <w:left w:val="single" w:sz="4" w:space="0" w:color="auto"/>
              <w:bottom w:val="single" w:sz="4" w:space="0" w:color="auto"/>
              <w:right w:val="nil"/>
            </w:tcBorders>
            <w:shd w:val="clear" w:color="000000" w:fill="FFFFFF"/>
            <w:noWrap/>
            <w:vAlign w:val="bottom"/>
            <w:hideMark/>
          </w:tcPr>
          <w:p w:rsidR="00EC771F" w:rsidRPr="001D4278" w:rsidRDefault="00EC771F" w:rsidP="00805BF1">
            <w:pPr>
              <w:spacing w:after="0" w:line="240" w:lineRule="auto"/>
              <w:rPr>
                <w:rFonts w:eastAsia="Times New Roman" w:cs="Calibri"/>
                <w:color w:val="000000"/>
                <w:sz w:val="20"/>
                <w:szCs w:val="20"/>
                <w:lang w:eastAsia="da-DK"/>
              </w:rPr>
            </w:pPr>
            <w:r w:rsidRPr="001D4278">
              <w:rPr>
                <w:rFonts w:eastAsia="Times New Roman" w:cs="Calibri"/>
                <w:color w:val="000000"/>
                <w:sz w:val="20"/>
                <w:szCs w:val="20"/>
                <w:lang w:eastAsia="da-DK"/>
              </w:rPr>
              <w:t>Serviceniveau</w:t>
            </w:r>
          </w:p>
        </w:tc>
        <w:tc>
          <w:tcPr>
            <w:tcW w:w="609"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0,18</w:t>
            </w:r>
          </w:p>
        </w:tc>
        <w:tc>
          <w:tcPr>
            <w:tcW w:w="609"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0,12</w:t>
            </w:r>
          </w:p>
        </w:tc>
        <w:tc>
          <w:tcPr>
            <w:tcW w:w="656"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0,36</w:t>
            </w:r>
          </w:p>
        </w:tc>
        <w:tc>
          <w:tcPr>
            <w:tcW w:w="608"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0,11</w:t>
            </w:r>
          </w:p>
        </w:tc>
        <w:tc>
          <w:tcPr>
            <w:tcW w:w="609"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0,12</w:t>
            </w:r>
          </w:p>
        </w:tc>
        <w:tc>
          <w:tcPr>
            <w:tcW w:w="670"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-0,20</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-0,07</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-0,08</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Pr>
                <w:rFonts w:eastAsia="Times New Roman" w:cs="Calibri"/>
                <w:color w:val="000000"/>
                <w:sz w:val="20"/>
                <w:szCs w:val="20"/>
                <w:lang w:eastAsia="da-DK"/>
              </w:rPr>
              <w:t>0,08</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-0,32</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-0,35</w:t>
            </w:r>
          </w:p>
        </w:tc>
        <w:tc>
          <w:tcPr>
            <w:tcW w:w="662" w:type="dxa"/>
            <w:tcBorders>
              <w:top w:val="nil"/>
              <w:left w:val="nil"/>
              <w:bottom w:val="single" w:sz="4" w:space="0" w:color="auto"/>
              <w:right w:val="nil"/>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0,62</w:t>
            </w:r>
          </w:p>
        </w:tc>
        <w:tc>
          <w:tcPr>
            <w:tcW w:w="662" w:type="dxa"/>
            <w:tcBorders>
              <w:top w:val="nil"/>
              <w:left w:val="nil"/>
              <w:bottom w:val="single" w:sz="4" w:space="0" w:color="auto"/>
              <w:right w:val="single" w:sz="4" w:space="0" w:color="auto"/>
            </w:tcBorders>
            <w:shd w:val="clear" w:color="000000" w:fill="FFFFFF"/>
            <w:noWrap/>
            <w:vAlign w:val="bottom"/>
            <w:hideMark/>
          </w:tcPr>
          <w:p w:rsidR="00EC771F" w:rsidRPr="001D4278" w:rsidRDefault="00EC771F" w:rsidP="00805BF1">
            <w:pPr>
              <w:spacing w:after="0" w:line="240" w:lineRule="auto"/>
              <w:jc w:val="right"/>
              <w:rPr>
                <w:rFonts w:eastAsia="Times New Roman" w:cs="Calibri"/>
                <w:color w:val="000000"/>
                <w:sz w:val="20"/>
                <w:szCs w:val="20"/>
                <w:lang w:eastAsia="da-DK"/>
              </w:rPr>
            </w:pPr>
            <w:r w:rsidRPr="001D4278">
              <w:rPr>
                <w:rFonts w:eastAsia="Times New Roman" w:cs="Calibri"/>
                <w:color w:val="000000"/>
                <w:sz w:val="20"/>
                <w:szCs w:val="20"/>
                <w:lang w:eastAsia="da-DK"/>
              </w:rPr>
              <w:t>1</w:t>
            </w:r>
          </w:p>
        </w:tc>
      </w:tr>
    </w:tbl>
    <w:p w:rsidR="00FA11E4" w:rsidRDefault="00FA11E4" w:rsidP="00157C04"/>
    <w:sectPr w:rsidR="00FA11E4" w:rsidSect="00663368">
      <w:headerReference w:type="default" r:id="rId19"/>
      <w:footerReference w:type="default" r:id="rId20"/>
      <w:headerReference w:type="first" r:id="rId21"/>
      <w:footerReference w:type="first" r:id="rId22"/>
      <w:pgSz w:w="11906" w:h="16838"/>
      <w:pgMar w:top="1701" w:right="1134" w:bottom="1701"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5D" w:rsidRDefault="007A755D" w:rsidP="00E93062">
      <w:pPr>
        <w:spacing w:after="0" w:line="240" w:lineRule="auto"/>
      </w:pPr>
      <w:r>
        <w:separator/>
      </w:r>
    </w:p>
  </w:endnote>
  <w:endnote w:type="continuationSeparator" w:id="0">
    <w:p w:rsidR="007A755D" w:rsidRDefault="007A755D" w:rsidP="00E9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0000000000000000000"/>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ngo Serif">
    <w:altName w:val="Cambria"/>
    <w:panose1 w:val="00000000000000000000"/>
    <w:charset w:val="00"/>
    <w:family w:val="roman"/>
    <w:notTrueType/>
    <w:pitch w:val="variable"/>
    <w:sig w:usb0="800000AF" w:usb1="5000204A" w:usb2="00000000" w:usb3="00000000" w:csb0="00000001" w:csb1="00000000"/>
  </w:font>
  <w:font w:name="Lato-Regular">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25" w:rsidRDefault="002C4225" w:rsidP="00AB19E1">
    <w:pPr>
      <w:pStyle w:val="Sidefodtekst"/>
    </w:pPr>
    <w:r w:rsidRPr="00AF6741">
      <w:rPr>
        <w:rStyle w:val="SidefodtekstTegn"/>
      </w:rPr>
      <w:t>CEPOS · Landgreven 3, 3. · 1301 København K · +45 33 45 60 30 · www.cepos.dk</w:t>
    </w:r>
    <w:r w:rsidRPr="00AF6741">
      <w:tab/>
    </w:r>
    <w:sdt>
      <w:sdtPr>
        <w:id w:val="-684824042"/>
        <w:docPartObj>
          <w:docPartGallery w:val="Page Numbers (Bottom of Page)"/>
          <w:docPartUnique/>
        </w:docPartObj>
      </w:sdtPr>
      <w:sdtEndPr/>
      <w:sdtContent>
        <w:r w:rsidRPr="00AF6741">
          <w:fldChar w:fldCharType="begin"/>
        </w:r>
        <w:r w:rsidRPr="00AF6741">
          <w:instrText>PAGE   \* MERGEFORMAT</w:instrText>
        </w:r>
        <w:r w:rsidRPr="00AF6741">
          <w:fldChar w:fldCharType="separate"/>
        </w:r>
        <w:r>
          <w:t>1</w:t>
        </w:r>
        <w:r w:rsidRPr="00AF6741">
          <w:fldChar w:fldCharType="end"/>
        </w:r>
      </w:sdtContent>
    </w:sdt>
  </w:p>
  <w:p w:rsidR="00663368" w:rsidRPr="002C4225" w:rsidRDefault="00663368" w:rsidP="002C42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25" w:rsidRDefault="002C4225" w:rsidP="00AB19E1">
    <w:pPr>
      <w:pStyle w:val="Sidefodtekst"/>
    </w:pPr>
    <w:r w:rsidRPr="00AF6741">
      <w:rPr>
        <w:rStyle w:val="SidefodtekstTegn"/>
      </w:rPr>
      <w:t>CEPOS · Landgreven 3, 3. · 1301 København K · +45 33 45 60 30 · www.cepos.dk</w:t>
    </w:r>
    <w:r w:rsidRPr="00AF6741">
      <w:tab/>
    </w:r>
    <w:sdt>
      <w:sdtPr>
        <w:id w:val="-1878853968"/>
        <w:docPartObj>
          <w:docPartGallery w:val="Page Numbers (Bottom of Page)"/>
          <w:docPartUnique/>
        </w:docPartObj>
      </w:sdtPr>
      <w:sdtEndPr/>
      <w:sdtContent>
        <w:r w:rsidRPr="00AF6741">
          <w:fldChar w:fldCharType="begin"/>
        </w:r>
        <w:r w:rsidRPr="00AF6741">
          <w:instrText>PAGE   \* MERGEFORMAT</w:instrText>
        </w:r>
        <w:r w:rsidRPr="00AF6741">
          <w:fldChar w:fldCharType="separate"/>
        </w:r>
        <w:r>
          <w:t>1</w:t>
        </w:r>
        <w:r w:rsidRPr="00AF6741">
          <w:fldChar w:fldCharType="end"/>
        </w:r>
      </w:sdtContent>
    </w:sdt>
  </w:p>
  <w:p w:rsidR="002C4225" w:rsidRPr="002C4225" w:rsidRDefault="002C4225" w:rsidP="002C42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5D" w:rsidRDefault="007A755D" w:rsidP="00E93062">
      <w:pPr>
        <w:spacing w:after="0" w:line="240" w:lineRule="auto"/>
      </w:pPr>
      <w:r>
        <w:separator/>
      </w:r>
    </w:p>
  </w:footnote>
  <w:footnote w:type="continuationSeparator" w:id="0">
    <w:p w:rsidR="007A755D" w:rsidRDefault="007A755D" w:rsidP="00E9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6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9"/>
      <w:gridCol w:w="272"/>
      <w:gridCol w:w="8449"/>
    </w:tblGrid>
    <w:tr w:rsidR="00663368" w:rsidRPr="00663368" w:rsidTr="00663368">
      <w:trPr>
        <w:trHeight w:val="367"/>
      </w:trPr>
      <w:tc>
        <w:tcPr>
          <w:tcW w:w="1899" w:type="dxa"/>
          <w:shd w:val="clear" w:color="auto" w:fill="auto"/>
        </w:tcPr>
        <w:p w:rsidR="00663368" w:rsidRPr="0091319E" w:rsidRDefault="00663368" w:rsidP="00663368">
          <w:pPr>
            <w:pStyle w:val="Logo"/>
          </w:pPr>
          <w:r w:rsidRPr="0091319E">
            <w:t>CEPOS</w:t>
          </w:r>
        </w:p>
      </w:tc>
      <w:tc>
        <w:tcPr>
          <w:tcW w:w="272" w:type="dxa"/>
          <w:shd w:val="clear" w:color="auto" w:fill="auto"/>
        </w:tcPr>
        <w:p w:rsidR="00663368" w:rsidRPr="009C3530" w:rsidRDefault="00663368" w:rsidP="00663368">
          <w:pPr>
            <w:pStyle w:val="BrdtekstCEPOS-notat"/>
          </w:pPr>
        </w:p>
      </w:tc>
      <w:tc>
        <w:tcPr>
          <w:tcW w:w="8449" w:type="dxa"/>
          <w:shd w:val="clear" w:color="auto" w:fill="auto"/>
        </w:tcPr>
        <w:p w:rsidR="00663368" w:rsidRPr="00E84E4A" w:rsidRDefault="007A755D" w:rsidP="00663368">
          <w:pPr>
            <w:pStyle w:val="Overskrift1"/>
            <w:numPr>
              <w:ilvl w:val="0"/>
              <w:numId w:val="0"/>
            </w:numPr>
            <w:spacing w:before="0"/>
            <w:ind w:left="105" w:hanging="105"/>
            <w:jc w:val="right"/>
            <w:outlineLvl w:val="0"/>
            <w:rPr>
              <w:rStyle w:val="TitelTegn"/>
              <w:color w:val="1F497D" w:themeColor="text2"/>
              <w:sz w:val="24"/>
              <w:szCs w:val="44"/>
            </w:rPr>
          </w:pPr>
          <w:sdt>
            <w:sdtPr>
              <w:rPr>
                <w:rStyle w:val="TitelTegn"/>
                <w:color w:val="1F497D" w:themeColor="text2"/>
                <w:sz w:val="24"/>
                <w:szCs w:val="44"/>
              </w:rPr>
              <w:alias w:val="Titel"/>
              <w:tag w:val=""/>
              <w:id w:val="-670720764"/>
              <w:dataBinding w:prefixMappings="xmlns:ns0='http://purl.org/dc/elements/1.1/' xmlns:ns1='http://schemas.openxmlformats.org/package/2006/metadata/core-properties' " w:xpath="/ns1:coreProperties[1]/ns0:title[1]" w:storeItemID="{6C3C8BC8-F283-45AE-878A-BAB7291924A1}"/>
              <w:text/>
            </w:sdtPr>
            <w:sdtEndPr>
              <w:rPr>
                <w:rStyle w:val="TitelTegn"/>
              </w:rPr>
            </w:sdtEndPr>
            <w:sdtContent>
              <w:r w:rsidR="00663368">
                <w:rPr>
                  <w:rStyle w:val="TitelTegn"/>
                  <w:color w:val="1F497D" w:themeColor="text2"/>
                  <w:sz w:val="24"/>
                  <w:szCs w:val="44"/>
                </w:rPr>
                <w:t>Budgetdisciplin i kommunerne - en analyse af, hvad der ligger bag kommunale budgetoverskridelser</w:t>
              </w:r>
            </w:sdtContent>
          </w:sdt>
        </w:p>
        <w:p w:rsidR="00663368" w:rsidRPr="00663368" w:rsidRDefault="007A755D" w:rsidP="00663368">
          <w:pPr>
            <w:pStyle w:val="Overskrift1"/>
            <w:numPr>
              <w:ilvl w:val="0"/>
              <w:numId w:val="0"/>
            </w:numPr>
            <w:spacing w:before="0"/>
            <w:ind w:left="-240" w:firstLine="240"/>
            <w:jc w:val="right"/>
            <w:outlineLvl w:val="0"/>
            <w:rPr>
              <w:sz w:val="28"/>
              <w:lang w:val="en-US"/>
            </w:rPr>
          </w:pPr>
          <w:sdt>
            <w:sdtPr>
              <w:rPr>
                <w:rStyle w:val="TitelTegn"/>
                <w:color w:val="1F497D" w:themeColor="text2"/>
                <w:sz w:val="24"/>
                <w:szCs w:val="44"/>
                <w:lang w:val="en-US"/>
              </w:rPr>
              <w:alias w:val="Forfatter"/>
              <w:tag w:val=""/>
              <w:id w:val="231671722"/>
              <w:dataBinding w:prefixMappings="xmlns:ns0='http://purl.org/dc/elements/1.1/' xmlns:ns1='http://schemas.openxmlformats.org/package/2006/metadata/core-properties' " w:xpath="/ns1:coreProperties[1]/ns0:creator[1]" w:storeItemID="{6C3C8BC8-F283-45AE-878A-BAB7291924A1}"/>
              <w:text/>
            </w:sdtPr>
            <w:sdtEndPr>
              <w:rPr>
                <w:rStyle w:val="TitelTegn"/>
              </w:rPr>
            </w:sdtEndPr>
            <w:sdtContent>
              <w:r w:rsidR="00663368">
                <w:rPr>
                  <w:rStyle w:val="TitelTegn"/>
                  <w:color w:val="1F497D" w:themeColor="text2"/>
                  <w:sz w:val="24"/>
                  <w:szCs w:val="44"/>
                  <w:lang w:val="en-US"/>
                </w:rPr>
                <w:t>Henrik Christoffersen (25 38 30 00) og Tobias Heide-</w:t>
              </w:r>
              <w:proofErr w:type="spellStart"/>
              <w:r w:rsidR="00663368">
                <w:rPr>
                  <w:rStyle w:val="TitelTegn"/>
                  <w:color w:val="1F497D" w:themeColor="text2"/>
                  <w:sz w:val="24"/>
                  <w:szCs w:val="44"/>
                  <w:lang w:val="en-US"/>
                </w:rPr>
                <w:t>Winther</w:t>
              </w:r>
              <w:proofErr w:type="spellEnd"/>
            </w:sdtContent>
          </w:sdt>
          <w:r w:rsidR="00663368" w:rsidRPr="00663368">
            <w:rPr>
              <w:rStyle w:val="TitelTegn"/>
              <w:color w:val="1F497D" w:themeColor="text2"/>
              <w:sz w:val="24"/>
              <w:szCs w:val="44"/>
              <w:lang w:val="en-US"/>
            </w:rPr>
            <w:t xml:space="preserve">  · </w:t>
          </w:r>
          <w:sdt>
            <w:sdtPr>
              <w:rPr>
                <w:rStyle w:val="TitelTegn"/>
                <w:color w:val="1F497D" w:themeColor="text2"/>
                <w:sz w:val="24"/>
                <w:szCs w:val="44"/>
                <w:lang w:val="en-US"/>
              </w:rPr>
              <w:alias w:val="Udgivelsesdato"/>
              <w:tag w:val=""/>
              <w:id w:val="1541172297"/>
              <w:dataBinding w:prefixMappings="xmlns:ns0='http://schemas.microsoft.com/office/2006/coverPageProps' " w:xpath="/ns0:CoverPageProperties[1]/ns0:PublishDate[1]" w:storeItemID="{55AF091B-3C7A-41E3-B477-F2FDAA23CFDA}"/>
              <w:date w:fullDate="2018-12-18T00:00:00Z">
                <w:dateFormat w:val="dd-MM-yyyy"/>
                <w:lid w:val="da-DK"/>
                <w:storeMappedDataAs w:val="dateTime"/>
                <w:calendar w:val="gregorian"/>
              </w:date>
            </w:sdtPr>
            <w:sdtEndPr>
              <w:rPr>
                <w:rStyle w:val="TitelTegn"/>
              </w:rPr>
            </w:sdtEndPr>
            <w:sdtContent>
              <w:r w:rsidR="008D482D">
                <w:rPr>
                  <w:rStyle w:val="TitelTegn"/>
                  <w:color w:val="1F497D" w:themeColor="text2"/>
                  <w:sz w:val="24"/>
                  <w:szCs w:val="44"/>
                </w:rPr>
                <w:t>18-12-2018</w:t>
              </w:r>
            </w:sdtContent>
          </w:sdt>
        </w:p>
      </w:tc>
    </w:tr>
  </w:tbl>
  <w:p w:rsidR="00663368" w:rsidRPr="00663368" w:rsidRDefault="00663368">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68" w:rsidRPr="00A72754" w:rsidRDefault="00663368">
    <w:pPr>
      <w:rPr>
        <w:sz w:val="2"/>
        <w:szCs w:val="2"/>
      </w:rPr>
    </w:pPr>
  </w:p>
  <w:tbl>
    <w:tblPr>
      <w:tblStyle w:val="Tabel-Git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42"/>
      <w:gridCol w:w="8222"/>
    </w:tblGrid>
    <w:tr w:rsidR="00663368" w:rsidRPr="00113927" w:rsidTr="00663368">
      <w:trPr>
        <w:trHeight w:val="170"/>
      </w:trPr>
      <w:tc>
        <w:tcPr>
          <w:tcW w:w="1843" w:type="dxa"/>
          <w:shd w:val="clear" w:color="auto" w:fill="auto"/>
        </w:tcPr>
        <w:p w:rsidR="00663368" w:rsidRPr="00113927" w:rsidRDefault="00663368" w:rsidP="00663368">
          <w:pPr>
            <w:pStyle w:val="Logo"/>
            <w:spacing w:after="0"/>
          </w:pPr>
          <w:r w:rsidRPr="00113927">
            <w:t>CEPOS</w:t>
          </w:r>
        </w:p>
      </w:tc>
      <w:tc>
        <w:tcPr>
          <w:tcW w:w="142" w:type="dxa"/>
          <w:shd w:val="clear" w:color="auto" w:fill="auto"/>
        </w:tcPr>
        <w:p w:rsidR="00663368" w:rsidRPr="00113927" w:rsidRDefault="00663368" w:rsidP="00663368"/>
      </w:tc>
      <w:tc>
        <w:tcPr>
          <w:tcW w:w="8222" w:type="dxa"/>
          <w:shd w:val="clear" w:color="auto" w:fill="auto"/>
        </w:tcPr>
        <w:p w:rsidR="00663368" w:rsidRPr="000A3B7B" w:rsidRDefault="00663368" w:rsidP="00663368">
          <w:pPr>
            <w:spacing w:after="100" w:afterAutospacing="1"/>
            <w:rPr>
              <w:rStyle w:val="TitelTegn"/>
              <w:color w:val="1F497D" w:themeColor="text2"/>
              <w:position w:val="12"/>
              <w:szCs w:val="44"/>
            </w:rPr>
          </w:pPr>
          <w:r>
            <w:rPr>
              <w:rStyle w:val="TitelTegn"/>
              <w:color w:val="1F497D" w:themeColor="text2"/>
              <w:position w:val="12"/>
              <w:szCs w:val="44"/>
            </w:rPr>
            <w:t>Arbejdspapir</w:t>
          </w:r>
          <w:r w:rsidRPr="000A3B7B">
            <w:rPr>
              <w:rStyle w:val="TitelTegn"/>
              <w:color w:val="1F497D" w:themeColor="text2"/>
              <w:position w:val="12"/>
              <w:szCs w:val="44"/>
            </w:rPr>
            <w:t>:</w:t>
          </w:r>
        </w:p>
      </w:tc>
    </w:tr>
    <w:tr w:rsidR="00663368" w:rsidRPr="00113927" w:rsidTr="00663368">
      <w:trPr>
        <w:trHeight w:val="472"/>
      </w:trPr>
      <w:tc>
        <w:tcPr>
          <w:tcW w:w="1843" w:type="dxa"/>
          <w:shd w:val="clear" w:color="auto" w:fill="auto"/>
        </w:tcPr>
        <w:p w:rsidR="00663368" w:rsidRPr="00113927" w:rsidRDefault="00663368" w:rsidP="00663368">
          <w:pPr>
            <w:rPr>
              <w:color w:val="1F497D" w:themeColor="text2"/>
            </w:rPr>
          </w:pPr>
        </w:p>
      </w:tc>
      <w:tc>
        <w:tcPr>
          <w:tcW w:w="142" w:type="dxa"/>
          <w:shd w:val="clear" w:color="auto" w:fill="auto"/>
        </w:tcPr>
        <w:p w:rsidR="00663368" w:rsidRPr="00113927" w:rsidRDefault="00663368" w:rsidP="00663368">
          <w:pPr>
            <w:pStyle w:val="BrdtekstCEPOS-notat"/>
            <w:rPr>
              <w:color w:val="1F497D" w:themeColor="text2"/>
            </w:rPr>
          </w:pPr>
        </w:p>
      </w:tc>
      <w:tc>
        <w:tcPr>
          <w:tcW w:w="8222" w:type="dxa"/>
          <w:shd w:val="clear" w:color="auto" w:fill="auto"/>
        </w:tcPr>
        <w:p w:rsidR="00663368" w:rsidRPr="00113927" w:rsidRDefault="007A755D" w:rsidP="00663368">
          <w:pPr>
            <w:pStyle w:val="Sidehoved"/>
            <w:rPr>
              <w:color w:val="1F497D" w:themeColor="text2"/>
            </w:rPr>
          </w:pPr>
          <w:sdt>
            <w:sdtPr>
              <w:rPr>
                <w:rFonts w:ascii="Bebas Neue" w:hAnsi="Bebas Neue"/>
                <w:color w:val="1F497D" w:themeColor="text2"/>
                <w:sz w:val="52"/>
                <w:szCs w:val="52"/>
              </w:rPr>
              <w:alias w:val="Titel"/>
              <w:tag w:val=""/>
              <w:id w:val="1942943381"/>
              <w:dataBinding w:prefixMappings="xmlns:ns0='http://purl.org/dc/elements/1.1/' xmlns:ns1='http://schemas.openxmlformats.org/package/2006/metadata/core-properties' " w:xpath="/ns1:coreProperties[1]/ns0:title[1]" w:storeItemID="{6C3C8BC8-F283-45AE-878A-BAB7291924A1}"/>
              <w:text/>
            </w:sdtPr>
            <w:sdtEndPr/>
            <w:sdtContent>
              <w:r w:rsidR="00663368" w:rsidRPr="00663368">
                <w:rPr>
                  <w:rFonts w:ascii="Bebas Neue" w:hAnsi="Bebas Neue"/>
                  <w:color w:val="1F497D" w:themeColor="text2"/>
                  <w:sz w:val="52"/>
                  <w:szCs w:val="52"/>
                </w:rPr>
                <w:t>Budgetdisciplin i kommunerne</w:t>
              </w:r>
              <w:r w:rsidR="00663368">
                <w:rPr>
                  <w:rFonts w:ascii="Bebas Neue" w:hAnsi="Bebas Neue"/>
                  <w:color w:val="1F497D" w:themeColor="text2"/>
                  <w:sz w:val="52"/>
                  <w:szCs w:val="52"/>
                </w:rPr>
                <w:t xml:space="preserve"> </w:t>
              </w:r>
              <w:r w:rsidR="00663368" w:rsidRPr="00663368">
                <w:rPr>
                  <w:rFonts w:ascii="Bebas Neue" w:hAnsi="Bebas Neue"/>
                  <w:color w:val="1F497D" w:themeColor="text2"/>
                  <w:sz w:val="52"/>
                  <w:szCs w:val="52"/>
                </w:rPr>
                <w:t>- en analyse af, hvad der ligger bag kommunale budgetoverskridelser</w:t>
              </w:r>
            </w:sdtContent>
          </w:sdt>
        </w:p>
      </w:tc>
    </w:tr>
    <w:tr w:rsidR="00663368" w:rsidRPr="00663368" w:rsidTr="00663368">
      <w:trPr>
        <w:trHeight w:val="192"/>
      </w:trPr>
      <w:tc>
        <w:tcPr>
          <w:tcW w:w="1843" w:type="dxa"/>
          <w:shd w:val="clear" w:color="auto" w:fill="auto"/>
        </w:tcPr>
        <w:p w:rsidR="00663368" w:rsidRPr="00113927" w:rsidRDefault="007A755D" w:rsidP="00663368">
          <w:pPr>
            <w:rPr>
              <w:rStyle w:val="TitelTegn"/>
              <w:color w:val="1F497D" w:themeColor="text2"/>
              <w:sz w:val="32"/>
            </w:rPr>
          </w:pPr>
          <w:sdt>
            <w:sdtPr>
              <w:rPr>
                <w:rStyle w:val="TitelTegn"/>
                <w:color w:val="1F497D" w:themeColor="text2"/>
                <w:sz w:val="32"/>
              </w:rPr>
              <w:alias w:val="Udgivelsesdato"/>
              <w:tag w:val=""/>
              <w:id w:val="392474021"/>
              <w:dataBinding w:prefixMappings="xmlns:ns0='http://schemas.microsoft.com/office/2006/coverPageProps' " w:xpath="/ns0:CoverPageProperties[1]/ns0:PublishDate[1]" w:storeItemID="{55AF091B-3C7A-41E3-B477-F2FDAA23CFDA}"/>
              <w:date w:fullDate="2018-12-18T00:00:00Z">
                <w:dateFormat w:val="dd-MM-yyyy"/>
                <w:lid w:val="da-DK"/>
                <w:storeMappedDataAs w:val="dateTime"/>
                <w:calendar w:val="gregorian"/>
              </w:date>
            </w:sdtPr>
            <w:sdtEndPr>
              <w:rPr>
                <w:rStyle w:val="TitelTegn"/>
              </w:rPr>
            </w:sdtEndPr>
            <w:sdtContent>
              <w:r w:rsidR="008D482D">
                <w:rPr>
                  <w:rStyle w:val="TitelTegn"/>
                  <w:color w:val="1F497D" w:themeColor="text2"/>
                  <w:sz w:val="32"/>
                </w:rPr>
                <w:t>18-12-2018</w:t>
              </w:r>
            </w:sdtContent>
          </w:sdt>
        </w:p>
      </w:tc>
      <w:tc>
        <w:tcPr>
          <w:tcW w:w="142" w:type="dxa"/>
          <w:shd w:val="clear" w:color="auto" w:fill="auto"/>
        </w:tcPr>
        <w:p w:rsidR="00663368" w:rsidRPr="00113927" w:rsidRDefault="00663368" w:rsidP="00663368"/>
      </w:tc>
      <w:tc>
        <w:tcPr>
          <w:tcW w:w="8222" w:type="dxa"/>
          <w:shd w:val="clear" w:color="auto" w:fill="auto"/>
        </w:tcPr>
        <w:p w:rsidR="00663368" w:rsidRPr="00663368" w:rsidRDefault="00663368" w:rsidP="00663368">
          <w:pPr>
            <w:rPr>
              <w:rStyle w:val="TitelTegn"/>
              <w:color w:val="1F497D" w:themeColor="text2"/>
              <w:sz w:val="32"/>
              <w:szCs w:val="32"/>
              <w:lang w:val="en-US"/>
            </w:rPr>
          </w:pPr>
          <w:r w:rsidRPr="00663368">
            <w:rPr>
              <w:rFonts w:ascii="Bebas Neue" w:hAnsi="Bebas Neue"/>
              <w:color w:val="1F497D" w:themeColor="text2"/>
              <w:sz w:val="32"/>
              <w:szCs w:val="32"/>
            </w:rPr>
            <w:t>Af</w:t>
          </w:r>
          <w:r w:rsidRPr="00663368">
            <w:rPr>
              <w:rStyle w:val="Overskrift1Tegn"/>
              <w:color w:val="1F497D" w:themeColor="text2"/>
              <w:sz w:val="32"/>
              <w:szCs w:val="32"/>
              <w:lang w:val="en-US"/>
            </w:rPr>
            <w:t xml:space="preserve"> </w:t>
          </w:r>
          <w:sdt>
            <w:sdtPr>
              <w:rPr>
                <w:rFonts w:ascii="Bebas Neue" w:hAnsi="Bebas Neue"/>
                <w:color w:val="1F497D" w:themeColor="text2"/>
                <w:sz w:val="32"/>
                <w:szCs w:val="32"/>
              </w:rPr>
              <w:alias w:val="Forfatter"/>
              <w:tag w:val=""/>
              <w:id w:val="-384409432"/>
              <w:dataBinding w:prefixMappings="xmlns:ns0='http://purl.org/dc/elements/1.1/' xmlns:ns1='http://schemas.openxmlformats.org/package/2006/metadata/core-properties' " w:xpath="/ns1:coreProperties[1]/ns0:creator[1]" w:storeItemID="{6C3C8BC8-F283-45AE-878A-BAB7291924A1}"/>
              <w:text/>
            </w:sdtPr>
            <w:sdtEndPr/>
            <w:sdtContent>
              <w:r w:rsidRPr="00663368">
                <w:rPr>
                  <w:rFonts w:ascii="Bebas Neue" w:hAnsi="Bebas Neue"/>
                  <w:color w:val="1F497D" w:themeColor="text2"/>
                  <w:sz w:val="32"/>
                  <w:szCs w:val="32"/>
                </w:rPr>
                <w:t>Henrik Christoffersen (25 38 30 00) og Tobias Heide-Winther</w:t>
              </w:r>
            </w:sdtContent>
          </w:sdt>
          <w:r w:rsidRPr="00663368">
            <w:rPr>
              <w:rFonts w:ascii="Bebas Neue" w:hAnsi="Bebas Neue"/>
              <w:color w:val="1F497D" w:themeColor="text2"/>
              <w:sz w:val="32"/>
              <w:szCs w:val="32"/>
              <w:lang w:val="en-US"/>
            </w:rPr>
            <w:t xml:space="preserve">  </w:t>
          </w:r>
        </w:p>
      </w:tc>
    </w:tr>
  </w:tbl>
  <w:p w:rsidR="00663368" w:rsidRPr="00663368" w:rsidRDefault="00663368" w:rsidP="00663368">
    <w:pPr>
      <w:pStyle w:val="Sidehoved"/>
      <w:rPr>
        <w:lang w:val="en-US"/>
      </w:rPr>
    </w:pPr>
  </w:p>
  <w:p w:rsidR="00663368" w:rsidRPr="00663368" w:rsidRDefault="00663368" w:rsidP="00663368">
    <w:pPr>
      <w:pStyle w:val="Sidehoved"/>
    </w:pPr>
    <w:r>
      <w:rPr>
        <w:noProof/>
      </w:rPr>
      <w:drawing>
        <wp:anchor distT="0" distB="0" distL="114300" distR="114300" simplePos="0" relativeHeight="251657216" behindDoc="1" locked="0" layoutInCell="1" allowOverlap="1">
          <wp:simplePos x="0" y="0"/>
          <wp:positionH relativeFrom="leftMargin">
            <wp:posOffset>0</wp:posOffset>
          </wp:positionH>
          <wp:positionV relativeFrom="page">
            <wp:posOffset>0</wp:posOffset>
          </wp:positionV>
          <wp:extent cx="8348345" cy="11807825"/>
          <wp:effectExtent l="0" t="0" r="0" b="3175"/>
          <wp:wrapNone/>
          <wp:docPr id="11" name="WordPictureWatermark"/>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8348345" cy="11807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leftMargin">
            <wp:posOffset>0</wp:posOffset>
          </wp:positionH>
          <wp:positionV relativeFrom="page">
            <wp:posOffset>0</wp:posOffset>
          </wp:positionV>
          <wp:extent cx="8348345" cy="11807825"/>
          <wp:effectExtent l="0" t="0" r="0" b="3175"/>
          <wp:wrapNone/>
          <wp:docPr id="2" name="WordPictureWatermark"/>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8348345" cy="1180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FE6BF5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E4C73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51AF6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D353C"/>
    <w:multiLevelType w:val="hybridMultilevel"/>
    <w:tmpl w:val="08FC0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5246C2"/>
    <w:multiLevelType w:val="hybridMultilevel"/>
    <w:tmpl w:val="21843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FC4F1A"/>
    <w:multiLevelType w:val="hybridMultilevel"/>
    <w:tmpl w:val="AC68ABC0"/>
    <w:lvl w:ilvl="0" w:tplc="5946626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F531790"/>
    <w:multiLevelType w:val="hybridMultilevel"/>
    <w:tmpl w:val="0C7684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CE7BE2"/>
    <w:multiLevelType w:val="hybridMultilevel"/>
    <w:tmpl w:val="2E1439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1C90867"/>
    <w:multiLevelType w:val="multilevel"/>
    <w:tmpl w:val="D1DC6E0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125B5386"/>
    <w:multiLevelType w:val="hybridMultilevel"/>
    <w:tmpl w:val="0A3C1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AE6BF2"/>
    <w:multiLevelType w:val="hybridMultilevel"/>
    <w:tmpl w:val="2F3EC5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B92121"/>
    <w:multiLevelType w:val="hybridMultilevel"/>
    <w:tmpl w:val="30BCE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FE5F7F"/>
    <w:multiLevelType w:val="hybridMultilevel"/>
    <w:tmpl w:val="C422D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1B298E"/>
    <w:multiLevelType w:val="hybridMultilevel"/>
    <w:tmpl w:val="D9287F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4A45B76"/>
    <w:multiLevelType w:val="hybridMultilevel"/>
    <w:tmpl w:val="267A8C9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0102374"/>
    <w:multiLevelType w:val="hybridMultilevel"/>
    <w:tmpl w:val="13CE1800"/>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6" w15:restartNumberingAfterBreak="0">
    <w:nsid w:val="36D67FDF"/>
    <w:multiLevelType w:val="hybridMultilevel"/>
    <w:tmpl w:val="E82C9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21499"/>
    <w:multiLevelType w:val="hybridMultilevel"/>
    <w:tmpl w:val="BFEAFEF6"/>
    <w:lvl w:ilvl="0" w:tplc="EAE600AE">
      <w:start w:val="1"/>
      <w:numFmt w:val="decimal"/>
      <w:pStyle w:val="Nummereretliste"/>
      <w:lvlText w:val="%1."/>
      <w:lvlJc w:val="left"/>
      <w:pPr>
        <w:ind w:left="720" w:hanging="360"/>
      </w:pPr>
      <w:rPr>
        <w:rFonts w:ascii="Bebas Neue" w:hAnsi="Bebas Neue" w:hint="default"/>
        <w:color w:val="BCA9A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D752BA"/>
    <w:multiLevelType w:val="hybridMultilevel"/>
    <w:tmpl w:val="0AAA7D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367A19"/>
    <w:multiLevelType w:val="hybridMultilevel"/>
    <w:tmpl w:val="A0C09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5C2598"/>
    <w:multiLevelType w:val="hybridMultilevel"/>
    <w:tmpl w:val="E3C83116"/>
    <w:lvl w:ilvl="0" w:tplc="943C33E4">
      <w:start w:val="1"/>
      <w:numFmt w:val="bullet"/>
      <w:lvlText w:val="•"/>
      <w:lvlJc w:val="left"/>
      <w:pPr>
        <w:tabs>
          <w:tab w:val="num" w:pos="720"/>
        </w:tabs>
        <w:ind w:left="720" w:hanging="360"/>
      </w:pPr>
      <w:rPr>
        <w:rFonts w:ascii="Arial" w:hAnsi="Arial" w:hint="default"/>
      </w:rPr>
    </w:lvl>
    <w:lvl w:ilvl="1" w:tplc="0AD03FE4" w:tentative="1">
      <w:start w:val="1"/>
      <w:numFmt w:val="bullet"/>
      <w:lvlText w:val="•"/>
      <w:lvlJc w:val="left"/>
      <w:pPr>
        <w:tabs>
          <w:tab w:val="num" w:pos="1440"/>
        </w:tabs>
        <w:ind w:left="1440" w:hanging="360"/>
      </w:pPr>
      <w:rPr>
        <w:rFonts w:ascii="Arial" w:hAnsi="Arial" w:hint="default"/>
      </w:rPr>
    </w:lvl>
    <w:lvl w:ilvl="2" w:tplc="78C6E1AE" w:tentative="1">
      <w:start w:val="1"/>
      <w:numFmt w:val="bullet"/>
      <w:lvlText w:val="•"/>
      <w:lvlJc w:val="left"/>
      <w:pPr>
        <w:tabs>
          <w:tab w:val="num" w:pos="2160"/>
        </w:tabs>
        <w:ind w:left="2160" w:hanging="360"/>
      </w:pPr>
      <w:rPr>
        <w:rFonts w:ascii="Arial" w:hAnsi="Arial" w:hint="default"/>
      </w:rPr>
    </w:lvl>
    <w:lvl w:ilvl="3" w:tplc="71A07A20" w:tentative="1">
      <w:start w:val="1"/>
      <w:numFmt w:val="bullet"/>
      <w:lvlText w:val="•"/>
      <w:lvlJc w:val="left"/>
      <w:pPr>
        <w:tabs>
          <w:tab w:val="num" w:pos="2880"/>
        </w:tabs>
        <w:ind w:left="2880" w:hanging="360"/>
      </w:pPr>
      <w:rPr>
        <w:rFonts w:ascii="Arial" w:hAnsi="Arial" w:hint="default"/>
      </w:rPr>
    </w:lvl>
    <w:lvl w:ilvl="4" w:tplc="C49C12E2" w:tentative="1">
      <w:start w:val="1"/>
      <w:numFmt w:val="bullet"/>
      <w:lvlText w:val="•"/>
      <w:lvlJc w:val="left"/>
      <w:pPr>
        <w:tabs>
          <w:tab w:val="num" w:pos="3600"/>
        </w:tabs>
        <w:ind w:left="3600" w:hanging="360"/>
      </w:pPr>
      <w:rPr>
        <w:rFonts w:ascii="Arial" w:hAnsi="Arial" w:hint="default"/>
      </w:rPr>
    </w:lvl>
    <w:lvl w:ilvl="5" w:tplc="D49E43B6" w:tentative="1">
      <w:start w:val="1"/>
      <w:numFmt w:val="bullet"/>
      <w:lvlText w:val="•"/>
      <w:lvlJc w:val="left"/>
      <w:pPr>
        <w:tabs>
          <w:tab w:val="num" w:pos="4320"/>
        </w:tabs>
        <w:ind w:left="4320" w:hanging="360"/>
      </w:pPr>
      <w:rPr>
        <w:rFonts w:ascii="Arial" w:hAnsi="Arial" w:hint="default"/>
      </w:rPr>
    </w:lvl>
    <w:lvl w:ilvl="6" w:tplc="EE888662" w:tentative="1">
      <w:start w:val="1"/>
      <w:numFmt w:val="bullet"/>
      <w:lvlText w:val="•"/>
      <w:lvlJc w:val="left"/>
      <w:pPr>
        <w:tabs>
          <w:tab w:val="num" w:pos="5040"/>
        </w:tabs>
        <w:ind w:left="5040" w:hanging="360"/>
      </w:pPr>
      <w:rPr>
        <w:rFonts w:ascii="Arial" w:hAnsi="Arial" w:hint="default"/>
      </w:rPr>
    </w:lvl>
    <w:lvl w:ilvl="7" w:tplc="DBBC6F74" w:tentative="1">
      <w:start w:val="1"/>
      <w:numFmt w:val="bullet"/>
      <w:lvlText w:val="•"/>
      <w:lvlJc w:val="left"/>
      <w:pPr>
        <w:tabs>
          <w:tab w:val="num" w:pos="5760"/>
        </w:tabs>
        <w:ind w:left="5760" w:hanging="360"/>
      </w:pPr>
      <w:rPr>
        <w:rFonts w:ascii="Arial" w:hAnsi="Arial" w:hint="default"/>
      </w:rPr>
    </w:lvl>
    <w:lvl w:ilvl="8" w:tplc="2C7AA7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E53C3"/>
    <w:multiLevelType w:val="hybridMultilevel"/>
    <w:tmpl w:val="44CC9DFC"/>
    <w:lvl w:ilvl="0" w:tplc="9C9A614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7B71C3"/>
    <w:multiLevelType w:val="hybridMultilevel"/>
    <w:tmpl w:val="128AA6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75684B"/>
    <w:multiLevelType w:val="hybridMultilevel"/>
    <w:tmpl w:val="99AE16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E40C20"/>
    <w:multiLevelType w:val="hybridMultilevel"/>
    <w:tmpl w:val="9CC02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0938A5"/>
    <w:multiLevelType w:val="hybridMultilevel"/>
    <w:tmpl w:val="68028D1A"/>
    <w:lvl w:ilvl="0" w:tplc="B7527948">
      <w:start w:val="1"/>
      <w:numFmt w:val="decimal"/>
      <w:pStyle w:val="NumberedHeading1"/>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B97028D"/>
    <w:multiLevelType w:val="hybridMultilevel"/>
    <w:tmpl w:val="190A154E"/>
    <w:lvl w:ilvl="0" w:tplc="BE34845A">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BE5CA9"/>
    <w:multiLevelType w:val="hybridMultilevel"/>
    <w:tmpl w:val="08923CD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8" w15:restartNumberingAfterBreak="0">
    <w:nsid w:val="6B7531AE"/>
    <w:multiLevelType w:val="hybridMultilevel"/>
    <w:tmpl w:val="25D6CF82"/>
    <w:lvl w:ilvl="0" w:tplc="3726F706">
      <w:start w:val="1"/>
      <w:numFmt w:val="bullet"/>
      <w:pStyle w:val="ListeCEPOS-notat"/>
      <w:lvlText w:val=""/>
      <w:lvlJc w:val="left"/>
      <w:pPr>
        <w:ind w:left="720" w:hanging="360"/>
      </w:pPr>
      <w:rPr>
        <w:rFonts w:ascii="Wingdings" w:hAnsi="Wingdings" w:hint="default"/>
        <w:color w:val="BCA9A0"/>
      </w:rPr>
    </w:lvl>
    <w:lvl w:ilvl="1" w:tplc="3F8C39B8">
      <w:start w:val="1"/>
      <w:numFmt w:val="bullet"/>
      <w:lvlText w:val=""/>
      <w:lvlJc w:val="left"/>
      <w:pPr>
        <w:ind w:left="1440" w:hanging="360"/>
      </w:pPr>
      <w:rPr>
        <w:rFonts w:ascii="Wingdings" w:hAnsi="Wingdings" w:hint="default"/>
        <w:color w:val="BCA9A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E7C5AD5"/>
    <w:multiLevelType w:val="hybridMultilevel"/>
    <w:tmpl w:val="C2E2F8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3A544DA"/>
    <w:multiLevelType w:val="hybridMultilevel"/>
    <w:tmpl w:val="25940C4E"/>
    <w:lvl w:ilvl="0" w:tplc="50CCFEB8">
      <w:start w:val="1"/>
      <w:numFmt w:val="bullet"/>
      <w:lvlText w:val="•"/>
      <w:lvlJc w:val="left"/>
      <w:pPr>
        <w:tabs>
          <w:tab w:val="num" w:pos="720"/>
        </w:tabs>
        <w:ind w:left="720" w:hanging="360"/>
      </w:pPr>
      <w:rPr>
        <w:rFonts w:ascii="Arial" w:hAnsi="Arial" w:hint="default"/>
      </w:rPr>
    </w:lvl>
    <w:lvl w:ilvl="1" w:tplc="77D25872" w:tentative="1">
      <w:start w:val="1"/>
      <w:numFmt w:val="bullet"/>
      <w:lvlText w:val="•"/>
      <w:lvlJc w:val="left"/>
      <w:pPr>
        <w:tabs>
          <w:tab w:val="num" w:pos="1440"/>
        </w:tabs>
        <w:ind w:left="1440" w:hanging="360"/>
      </w:pPr>
      <w:rPr>
        <w:rFonts w:ascii="Arial" w:hAnsi="Arial" w:hint="default"/>
      </w:rPr>
    </w:lvl>
    <w:lvl w:ilvl="2" w:tplc="9830E73C" w:tentative="1">
      <w:start w:val="1"/>
      <w:numFmt w:val="bullet"/>
      <w:lvlText w:val="•"/>
      <w:lvlJc w:val="left"/>
      <w:pPr>
        <w:tabs>
          <w:tab w:val="num" w:pos="2160"/>
        </w:tabs>
        <w:ind w:left="2160" w:hanging="360"/>
      </w:pPr>
      <w:rPr>
        <w:rFonts w:ascii="Arial" w:hAnsi="Arial" w:hint="default"/>
      </w:rPr>
    </w:lvl>
    <w:lvl w:ilvl="3" w:tplc="94DC651C" w:tentative="1">
      <w:start w:val="1"/>
      <w:numFmt w:val="bullet"/>
      <w:lvlText w:val="•"/>
      <w:lvlJc w:val="left"/>
      <w:pPr>
        <w:tabs>
          <w:tab w:val="num" w:pos="2880"/>
        </w:tabs>
        <w:ind w:left="2880" w:hanging="360"/>
      </w:pPr>
      <w:rPr>
        <w:rFonts w:ascii="Arial" w:hAnsi="Arial" w:hint="default"/>
      </w:rPr>
    </w:lvl>
    <w:lvl w:ilvl="4" w:tplc="5A24AE58" w:tentative="1">
      <w:start w:val="1"/>
      <w:numFmt w:val="bullet"/>
      <w:lvlText w:val="•"/>
      <w:lvlJc w:val="left"/>
      <w:pPr>
        <w:tabs>
          <w:tab w:val="num" w:pos="3600"/>
        </w:tabs>
        <w:ind w:left="3600" w:hanging="360"/>
      </w:pPr>
      <w:rPr>
        <w:rFonts w:ascii="Arial" w:hAnsi="Arial" w:hint="default"/>
      </w:rPr>
    </w:lvl>
    <w:lvl w:ilvl="5" w:tplc="DE4479BC" w:tentative="1">
      <w:start w:val="1"/>
      <w:numFmt w:val="bullet"/>
      <w:lvlText w:val="•"/>
      <w:lvlJc w:val="left"/>
      <w:pPr>
        <w:tabs>
          <w:tab w:val="num" w:pos="4320"/>
        </w:tabs>
        <w:ind w:left="4320" w:hanging="360"/>
      </w:pPr>
      <w:rPr>
        <w:rFonts w:ascii="Arial" w:hAnsi="Arial" w:hint="default"/>
      </w:rPr>
    </w:lvl>
    <w:lvl w:ilvl="6" w:tplc="9EAC98D4" w:tentative="1">
      <w:start w:val="1"/>
      <w:numFmt w:val="bullet"/>
      <w:lvlText w:val="•"/>
      <w:lvlJc w:val="left"/>
      <w:pPr>
        <w:tabs>
          <w:tab w:val="num" w:pos="5040"/>
        </w:tabs>
        <w:ind w:left="5040" w:hanging="360"/>
      </w:pPr>
      <w:rPr>
        <w:rFonts w:ascii="Arial" w:hAnsi="Arial" w:hint="default"/>
      </w:rPr>
    </w:lvl>
    <w:lvl w:ilvl="7" w:tplc="7730E55C" w:tentative="1">
      <w:start w:val="1"/>
      <w:numFmt w:val="bullet"/>
      <w:lvlText w:val="•"/>
      <w:lvlJc w:val="left"/>
      <w:pPr>
        <w:tabs>
          <w:tab w:val="num" w:pos="5760"/>
        </w:tabs>
        <w:ind w:left="5760" w:hanging="360"/>
      </w:pPr>
      <w:rPr>
        <w:rFonts w:ascii="Arial" w:hAnsi="Arial" w:hint="default"/>
      </w:rPr>
    </w:lvl>
    <w:lvl w:ilvl="8" w:tplc="7E32A4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A17C04"/>
    <w:multiLevelType w:val="hybridMultilevel"/>
    <w:tmpl w:val="DBD62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4"/>
  </w:num>
  <w:num w:numId="5">
    <w:abstractNumId w:val="21"/>
  </w:num>
  <w:num w:numId="6">
    <w:abstractNumId w:val="29"/>
  </w:num>
  <w:num w:numId="7">
    <w:abstractNumId w:val="19"/>
  </w:num>
  <w:num w:numId="8">
    <w:abstractNumId w:val="15"/>
  </w:num>
  <w:num w:numId="9">
    <w:abstractNumId w:val="6"/>
  </w:num>
  <w:num w:numId="10">
    <w:abstractNumId w:val="22"/>
  </w:num>
  <w:num w:numId="11">
    <w:abstractNumId w:val="8"/>
  </w:num>
  <w:num w:numId="12">
    <w:abstractNumId w:val="28"/>
  </w:num>
  <w:num w:numId="13">
    <w:abstractNumId w:val="28"/>
    <w:lvlOverride w:ilvl="0">
      <w:startOverride w:val="1"/>
    </w:lvlOverride>
  </w:num>
  <w:num w:numId="14">
    <w:abstractNumId w:val="17"/>
  </w:num>
  <w:num w:numId="15">
    <w:abstractNumId w:val="26"/>
  </w:num>
  <w:num w:numId="16">
    <w:abstractNumId w:val="3"/>
  </w:num>
  <w:num w:numId="17">
    <w:abstractNumId w:val="9"/>
  </w:num>
  <w:num w:numId="18">
    <w:abstractNumId w:val="12"/>
  </w:num>
  <w:num w:numId="19">
    <w:abstractNumId w:val="30"/>
  </w:num>
  <w:num w:numId="20">
    <w:abstractNumId w:val="20"/>
  </w:num>
  <w:num w:numId="21">
    <w:abstractNumId w:val="4"/>
  </w:num>
  <w:num w:numId="22">
    <w:abstractNumId w:val="23"/>
  </w:num>
  <w:num w:numId="23">
    <w:abstractNumId w:val="31"/>
  </w:num>
  <w:num w:numId="24">
    <w:abstractNumId w:val="16"/>
  </w:num>
  <w:num w:numId="25">
    <w:abstractNumId w:val="11"/>
  </w:num>
  <w:num w:numId="26">
    <w:abstractNumId w:val="5"/>
  </w:num>
  <w:num w:numId="27">
    <w:abstractNumId w:val="14"/>
  </w:num>
  <w:num w:numId="28">
    <w:abstractNumId w:val="13"/>
  </w:num>
  <w:num w:numId="29">
    <w:abstractNumId w:val="25"/>
  </w:num>
  <w:num w:numId="30">
    <w:abstractNumId w:val="18"/>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29"/>
    <w:rsid w:val="0000060A"/>
    <w:rsid w:val="00003AE2"/>
    <w:rsid w:val="000237C9"/>
    <w:rsid w:val="00041FE2"/>
    <w:rsid w:val="00044A1B"/>
    <w:rsid w:val="00046E3B"/>
    <w:rsid w:val="00057C00"/>
    <w:rsid w:val="000615B5"/>
    <w:rsid w:val="00066132"/>
    <w:rsid w:val="00066A58"/>
    <w:rsid w:val="00067965"/>
    <w:rsid w:val="00087945"/>
    <w:rsid w:val="000A5020"/>
    <w:rsid w:val="000A587C"/>
    <w:rsid w:val="000C057E"/>
    <w:rsid w:val="000E0CAB"/>
    <w:rsid w:val="00124C56"/>
    <w:rsid w:val="00137BFB"/>
    <w:rsid w:val="00147FC7"/>
    <w:rsid w:val="00154740"/>
    <w:rsid w:val="00157C04"/>
    <w:rsid w:val="00180FCF"/>
    <w:rsid w:val="00191C57"/>
    <w:rsid w:val="001933B1"/>
    <w:rsid w:val="001B4328"/>
    <w:rsid w:val="001B52AF"/>
    <w:rsid w:val="001D37AC"/>
    <w:rsid w:val="001D4278"/>
    <w:rsid w:val="001D758C"/>
    <w:rsid w:val="00207A62"/>
    <w:rsid w:val="00210087"/>
    <w:rsid w:val="00221241"/>
    <w:rsid w:val="00261595"/>
    <w:rsid w:val="00263F87"/>
    <w:rsid w:val="00266E26"/>
    <w:rsid w:val="00281E4F"/>
    <w:rsid w:val="0028328D"/>
    <w:rsid w:val="00284A22"/>
    <w:rsid w:val="00286363"/>
    <w:rsid w:val="00295FF8"/>
    <w:rsid w:val="002A16A8"/>
    <w:rsid w:val="002B744B"/>
    <w:rsid w:val="002C0413"/>
    <w:rsid w:val="002C4225"/>
    <w:rsid w:val="002C636E"/>
    <w:rsid w:val="002D0BBE"/>
    <w:rsid w:val="002D4E59"/>
    <w:rsid w:val="002F6BA9"/>
    <w:rsid w:val="00316C29"/>
    <w:rsid w:val="003336AC"/>
    <w:rsid w:val="003370F6"/>
    <w:rsid w:val="00372EE8"/>
    <w:rsid w:val="00382E4A"/>
    <w:rsid w:val="00396492"/>
    <w:rsid w:val="003C012D"/>
    <w:rsid w:val="003C56F7"/>
    <w:rsid w:val="003D0517"/>
    <w:rsid w:val="003D6709"/>
    <w:rsid w:val="003E1236"/>
    <w:rsid w:val="0040513E"/>
    <w:rsid w:val="004311F2"/>
    <w:rsid w:val="0043155A"/>
    <w:rsid w:val="00432A58"/>
    <w:rsid w:val="00440E5B"/>
    <w:rsid w:val="0044383E"/>
    <w:rsid w:val="00457FAB"/>
    <w:rsid w:val="00465FAA"/>
    <w:rsid w:val="00470072"/>
    <w:rsid w:val="0047350B"/>
    <w:rsid w:val="00477E24"/>
    <w:rsid w:val="00487B06"/>
    <w:rsid w:val="00493441"/>
    <w:rsid w:val="0049657B"/>
    <w:rsid w:val="00496C7D"/>
    <w:rsid w:val="004A4C59"/>
    <w:rsid w:val="004B24C7"/>
    <w:rsid w:val="004B2926"/>
    <w:rsid w:val="004D1622"/>
    <w:rsid w:val="004D67A3"/>
    <w:rsid w:val="00501C01"/>
    <w:rsid w:val="00506CF6"/>
    <w:rsid w:val="00523163"/>
    <w:rsid w:val="005413B4"/>
    <w:rsid w:val="00546579"/>
    <w:rsid w:val="00595F8D"/>
    <w:rsid w:val="005D3014"/>
    <w:rsid w:val="005E5689"/>
    <w:rsid w:val="005F405B"/>
    <w:rsid w:val="005F472B"/>
    <w:rsid w:val="005F4E78"/>
    <w:rsid w:val="00600286"/>
    <w:rsid w:val="006107B9"/>
    <w:rsid w:val="00617A7E"/>
    <w:rsid w:val="0064552C"/>
    <w:rsid w:val="0064770B"/>
    <w:rsid w:val="00647A3C"/>
    <w:rsid w:val="00647E57"/>
    <w:rsid w:val="006532AE"/>
    <w:rsid w:val="0065365B"/>
    <w:rsid w:val="00655733"/>
    <w:rsid w:val="00663368"/>
    <w:rsid w:val="0067254B"/>
    <w:rsid w:val="00681871"/>
    <w:rsid w:val="00683012"/>
    <w:rsid w:val="006A44A9"/>
    <w:rsid w:val="006C7BD7"/>
    <w:rsid w:val="006D2ADC"/>
    <w:rsid w:val="006D3DA1"/>
    <w:rsid w:val="006E50C6"/>
    <w:rsid w:val="006E63A6"/>
    <w:rsid w:val="006F3636"/>
    <w:rsid w:val="006F6725"/>
    <w:rsid w:val="006F676B"/>
    <w:rsid w:val="006F7363"/>
    <w:rsid w:val="00704EE3"/>
    <w:rsid w:val="00731C39"/>
    <w:rsid w:val="00741181"/>
    <w:rsid w:val="00780253"/>
    <w:rsid w:val="00781CEC"/>
    <w:rsid w:val="00795AF5"/>
    <w:rsid w:val="007A755D"/>
    <w:rsid w:val="007B3C87"/>
    <w:rsid w:val="007C4AFB"/>
    <w:rsid w:val="007D182B"/>
    <w:rsid w:val="007E0AC4"/>
    <w:rsid w:val="007F023E"/>
    <w:rsid w:val="00805BF1"/>
    <w:rsid w:val="00817713"/>
    <w:rsid w:val="00823C4F"/>
    <w:rsid w:val="00824209"/>
    <w:rsid w:val="008676F7"/>
    <w:rsid w:val="008A776B"/>
    <w:rsid w:val="008D482D"/>
    <w:rsid w:val="008F06D2"/>
    <w:rsid w:val="008F44E7"/>
    <w:rsid w:val="00907FA0"/>
    <w:rsid w:val="00924EDD"/>
    <w:rsid w:val="00966401"/>
    <w:rsid w:val="00967427"/>
    <w:rsid w:val="009743C1"/>
    <w:rsid w:val="00984919"/>
    <w:rsid w:val="00997277"/>
    <w:rsid w:val="009B3460"/>
    <w:rsid w:val="009B3E54"/>
    <w:rsid w:val="009B6A5B"/>
    <w:rsid w:val="009C5044"/>
    <w:rsid w:val="009D3330"/>
    <w:rsid w:val="009D421A"/>
    <w:rsid w:val="009D7457"/>
    <w:rsid w:val="009E1BF5"/>
    <w:rsid w:val="00A03F89"/>
    <w:rsid w:val="00A106AA"/>
    <w:rsid w:val="00A25E93"/>
    <w:rsid w:val="00A40734"/>
    <w:rsid w:val="00A40739"/>
    <w:rsid w:val="00A425E5"/>
    <w:rsid w:val="00A52197"/>
    <w:rsid w:val="00A567FC"/>
    <w:rsid w:val="00A70D31"/>
    <w:rsid w:val="00A740EC"/>
    <w:rsid w:val="00A80F8D"/>
    <w:rsid w:val="00A83510"/>
    <w:rsid w:val="00AA1124"/>
    <w:rsid w:val="00AA4B6E"/>
    <w:rsid w:val="00AB2EC4"/>
    <w:rsid w:val="00AC0E23"/>
    <w:rsid w:val="00AF4F74"/>
    <w:rsid w:val="00B00F95"/>
    <w:rsid w:val="00B065E6"/>
    <w:rsid w:val="00B17D97"/>
    <w:rsid w:val="00B305D9"/>
    <w:rsid w:val="00B4183D"/>
    <w:rsid w:val="00B5481A"/>
    <w:rsid w:val="00B578C4"/>
    <w:rsid w:val="00B63F47"/>
    <w:rsid w:val="00B720B5"/>
    <w:rsid w:val="00B808BD"/>
    <w:rsid w:val="00B9121B"/>
    <w:rsid w:val="00B96FDE"/>
    <w:rsid w:val="00BB186C"/>
    <w:rsid w:val="00BC6E6A"/>
    <w:rsid w:val="00BD0AD5"/>
    <w:rsid w:val="00BD5EB0"/>
    <w:rsid w:val="00C3502B"/>
    <w:rsid w:val="00C46055"/>
    <w:rsid w:val="00C7147A"/>
    <w:rsid w:val="00C8132C"/>
    <w:rsid w:val="00C85A4F"/>
    <w:rsid w:val="00C96602"/>
    <w:rsid w:val="00CD4EE6"/>
    <w:rsid w:val="00CD4FBF"/>
    <w:rsid w:val="00CD7625"/>
    <w:rsid w:val="00CE122D"/>
    <w:rsid w:val="00CE3557"/>
    <w:rsid w:val="00CE6B5D"/>
    <w:rsid w:val="00CF0EBA"/>
    <w:rsid w:val="00D01592"/>
    <w:rsid w:val="00D04932"/>
    <w:rsid w:val="00D1495B"/>
    <w:rsid w:val="00D25EA8"/>
    <w:rsid w:val="00D26A43"/>
    <w:rsid w:val="00D3577C"/>
    <w:rsid w:val="00D37CFF"/>
    <w:rsid w:val="00D67FE6"/>
    <w:rsid w:val="00D74875"/>
    <w:rsid w:val="00D857C1"/>
    <w:rsid w:val="00DB37E3"/>
    <w:rsid w:val="00DB5940"/>
    <w:rsid w:val="00DC63A0"/>
    <w:rsid w:val="00DD2DC3"/>
    <w:rsid w:val="00DE0375"/>
    <w:rsid w:val="00DE19F4"/>
    <w:rsid w:val="00DF42E2"/>
    <w:rsid w:val="00DF5772"/>
    <w:rsid w:val="00E01B1A"/>
    <w:rsid w:val="00E039F6"/>
    <w:rsid w:val="00E0468D"/>
    <w:rsid w:val="00E10818"/>
    <w:rsid w:val="00E12306"/>
    <w:rsid w:val="00E16E18"/>
    <w:rsid w:val="00E17BFA"/>
    <w:rsid w:val="00E36041"/>
    <w:rsid w:val="00E51A42"/>
    <w:rsid w:val="00E77DE7"/>
    <w:rsid w:val="00E93062"/>
    <w:rsid w:val="00EA18C7"/>
    <w:rsid w:val="00EA228F"/>
    <w:rsid w:val="00EC771F"/>
    <w:rsid w:val="00ED608D"/>
    <w:rsid w:val="00F229C7"/>
    <w:rsid w:val="00F33588"/>
    <w:rsid w:val="00F40D7E"/>
    <w:rsid w:val="00F44281"/>
    <w:rsid w:val="00F45924"/>
    <w:rsid w:val="00F534DE"/>
    <w:rsid w:val="00F65B77"/>
    <w:rsid w:val="00F67954"/>
    <w:rsid w:val="00F67C8A"/>
    <w:rsid w:val="00F743E4"/>
    <w:rsid w:val="00F76DFB"/>
    <w:rsid w:val="00F77D76"/>
    <w:rsid w:val="00F854C0"/>
    <w:rsid w:val="00FA11E4"/>
    <w:rsid w:val="00FA5064"/>
    <w:rsid w:val="00FC3FC1"/>
    <w:rsid w:val="00FD6F75"/>
    <w:rsid w:val="00FE2F76"/>
    <w:rsid w:val="00FE5C6A"/>
    <w:rsid w:val="00FF5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8438C-FFE6-2840-B3DD-BB5ECA33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225"/>
    <w:pPr>
      <w:spacing w:after="240"/>
    </w:pPr>
    <w:rPr>
      <w:rFonts w:ascii="Lato" w:hAnsi="Lato" w:cs="Times New Roman"/>
    </w:rPr>
  </w:style>
  <w:style w:type="paragraph" w:styleId="Overskrift1">
    <w:name w:val="heading 1"/>
    <w:basedOn w:val="Overskrift3"/>
    <w:next w:val="Normal"/>
    <w:link w:val="Overskrift1Tegn"/>
    <w:uiPriority w:val="9"/>
    <w:qFormat/>
    <w:rsid w:val="002C4225"/>
    <w:pPr>
      <w:numPr>
        <w:ilvl w:val="0"/>
      </w:numPr>
      <w:outlineLvl w:val="0"/>
    </w:pPr>
    <w:rPr>
      <w:sz w:val="36"/>
      <w:szCs w:val="36"/>
    </w:rPr>
  </w:style>
  <w:style w:type="paragraph" w:styleId="Overskrift2">
    <w:name w:val="heading 2"/>
    <w:basedOn w:val="Normal"/>
    <w:next w:val="Normal"/>
    <w:link w:val="Overskrift2Tegn"/>
    <w:uiPriority w:val="9"/>
    <w:unhideWhenUsed/>
    <w:qFormat/>
    <w:rsid w:val="002C4225"/>
    <w:pPr>
      <w:keepNext/>
      <w:keepLines/>
      <w:numPr>
        <w:ilvl w:val="1"/>
        <w:numId w:val="11"/>
      </w:numPr>
      <w:spacing w:before="200" w:after="0" w:line="240" w:lineRule="auto"/>
      <w:outlineLvl w:val="1"/>
    </w:pPr>
    <w:rPr>
      <w:rFonts w:ascii="Bebas Neue" w:eastAsiaTheme="majorEastAsia" w:hAnsi="Bebas Neue" w:cstheme="majorBidi"/>
      <w:bCs/>
      <w:color w:val="07385E"/>
      <w:sz w:val="28"/>
      <w:szCs w:val="24"/>
    </w:rPr>
  </w:style>
  <w:style w:type="paragraph" w:styleId="Overskrift3">
    <w:name w:val="heading 3"/>
    <w:basedOn w:val="Overskrift2"/>
    <w:next w:val="Normal"/>
    <w:link w:val="Overskrift3Tegn"/>
    <w:uiPriority w:val="9"/>
    <w:unhideWhenUsed/>
    <w:qFormat/>
    <w:rsid w:val="002C4225"/>
    <w:pPr>
      <w:numPr>
        <w:ilvl w:val="2"/>
      </w:numPr>
      <w:outlineLvl w:val="2"/>
    </w:pPr>
    <w:rPr>
      <w:sz w:val="24"/>
    </w:rPr>
  </w:style>
  <w:style w:type="paragraph" w:styleId="Overskrift4">
    <w:name w:val="heading 4"/>
    <w:basedOn w:val="Normal"/>
    <w:next w:val="Normal"/>
    <w:link w:val="Overskrift4Tegn"/>
    <w:uiPriority w:val="9"/>
    <w:unhideWhenUsed/>
    <w:qFormat/>
    <w:rsid w:val="002C4225"/>
    <w:pPr>
      <w:keepNext/>
      <w:keepLines/>
      <w:spacing w:before="200" w:after="0" w:line="240" w:lineRule="auto"/>
      <w:outlineLvl w:val="3"/>
    </w:pPr>
    <w:rPr>
      <w:rFonts w:ascii="Bebas Neue" w:eastAsiaTheme="majorEastAsia" w:hAnsi="Bebas Neue" w:cstheme="majorBidi"/>
      <w:bCs/>
      <w:color w:val="07385E"/>
      <w:sz w:val="24"/>
    </w:rPr>
  </w:style>
  <w:style w:type="paragraph" w:styleId="Overskrift5">
    <w:name w:val="heading 5"/>
    <w:basedOn w:val="Overskrift4"/>
    <w:next w:val="Normal"/>
    <w:link w:val="Overskrift5Tegn"/>
    <w:uiPriority w:val="9"/>
    <w:unhideWhenUsed/>
    <w:rsid w:val="002C4225"/>
    <w:pPr>
      <w:numPr>
        <w:ilvl w:val="4"/>
      </w:numPr>
      <w:outlineLvl w:val="4"/>
    </w:pPr>
    <w:rPr>
      <w:sz w:val="29"/>
      <w:szCs w:val="29"/>
    </w:rPr>
  </w:style>
  <w:style w:type="paragraph" w:styleId="Overskrift6">
    <w:name w:val="heading 6"/>
    <w:basedOn w:val="Overskrift5"/>
    <w:next w:val="Normal"/>
    <w:link w:val="Overskrift6Tegn"/>
    <w:uiPriority w:val="9"/>
    <w:unhideWhenUsed/>
    <w:rsid w:val="002C4225"/>
    <w:pPr>
      <w:numPr>
        <w:ilvl w:val="5"/>
      </w:numPr>
      <w:outlineLvl w:val="5"/>
    </w:pPr>
    <w:rPr>
      <w:sz w:val="26"/>
      <w:szCs w:val="26"/>
    </w:rPr>
  </w:style>
  <w:style w:type="paragraph" w:styleId="Overskrift7">
    <w:name w:val="heading 7"/>
    <w:basedOn w:val="Normal"/>
    <w:next w:val="Normal"/>
    <w:link w:val="Overskrift7Tegn"/>
    <w:uiPriority w:val="9"/>
    <w:semiHidden/>
    <w:unhideWhenUsed/>
    <w:rsid w:val="002C4225"/>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2C422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C422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rsid w:val="002C4225"/>
    <w:pPr>
      <w:ind w:left="720"/>
      <w:contextualSpacing/>
    </w:pPr>
  </w:style>
  <w:style w:type="paragraph" w:styleId="Markeringsbobletekst">
    <w:name w:val="Balloon Text"/>
    <w:basedOn w:val="Normal"/>
    <w:link w:val="MarkeringsbobletekstTegn"/>
    <w:uiPriority w:val="99"/>
    <w:semiHidden/>
    <w:unhideWhenUsed/>
    <w:rsid w:val="002C422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4225"/>
    <w:rPr>
      <w:rFonts w:ascii="Tahoma" w:hAnsi="Tahoma" w:cs="Tahoma"/>
      <w:sz w:val="16"/>
      <w:szCs w:val="16"/>
    </w:rPr>
  </w:style>
  <w:style w:type="paragraph" w:styleId="Fodnotetekst">
    <w:name w:val="footnote text"/>
    <w:basedOn w:val="Normal"/>
    <w:link w:val="FodnotetekstTegn"/>
    <w:uiPriority w:val="99"/>
    <w:unhideWhenUsed/>
    <w:qFormat/>
    <w:rsid w:val="002C4225"/>
    <w:pPr>
      <w:spacing w:after="0"/>
    </w:pPr>
    <w:rPr>
      <w:sz w:val="16"/>
      <w:szCs w:val="16"/>
    </w:rPr>
  </w:style>
  <w:style w:type="character" w:customStyle="1" w:styleId="FodnotetekstTegn">
    <w:name w:val="Fodnotetekst Tegn"/>
    <w:basedOn w:val="Standardskrifttypeiafsnit"/>
    <w:link w:val="Fodnotetekst"/>
    <w:uiPriority w:val="99"/>
    <w:rsid w:val="002C4225"/>
    <w:rPr>
      <w:rFonts w:ascii="Lato" w:hAnsi="Lato" w:cs="Times New Roman"/>
      <w:sz w:val="16"/>
      <w:szCs w:val="16"/>
    </w:rPr>
  </w:style>
  <w:style w:type="character" w:styleId="Fodnotehenvisning">
    <w:name w:val="footnote reference"/>
    <w:basedOn w:val="Standardskrifttypeiafsnit"/>
    <w:uiPriority w:val="99"/>
    <w:semiHidden/>
    <w:unhideWhenUsed/>
    <w:rsid w:val="002C4225"/>
    <w:rPr>
      <w:vertAlign w:val="superscript"/>
    </w:rPr>
  </w:style>
  <w:style w:type="character" w:styleId="Hyperlink">
    <w:name w:val="Hyperlink"/>
    <w:basedOn w:val="Standardskrifttypeiafsnit"/>
    <w:uiPriority w:val="99"/>
    <w:unhideWhenUsed/>
    <w:rsid w:val="002C4225"/>
    <w:rPr>
      <w:color w:val="0000FF" w:themeColor="hyperlink"/>
      <w:u w:val="single"/>
    </w:rPr>
  </w:style>
  <w:style w:type="character" w:customStyle="1" w:styleId="Ulstomtale1">
    <w:name w:val="Uløst omtale1"/>
    <w:basedOn w:val="Standardskrifttypeiafsnit"/>
    <w:uiPriority w:val="99"/>
    <w:semiHidden/>
    <w:unhideWhenUsed/>
    <w:rsid w:val="00B305D9"/>
    <w:rPr>
      <w:color w:val="605E5C"/>
      <w:shd w:val="clear" w:color="auto" w:fill="E1DFDD"/>
    </w:rPr>
  </w:style>
  <w:style w:type="character" w:styleId="Ulstomtale">
    <w:name w:val="Unresolved Mention"/>
    <w:basedOn w:val="Standardskrifttypeiafsnit"/>
    <w:uiPriority w:val="99"/>
    <w:semiHidden/>
    <w:unhideWhenUsed/>
    <w:rsid w:val="004B24C7"/>
    <w:rPr>
      <w:color w:val="605E5C"/>
      <w:shd w:val="clear" w:color="auto" w:fill="E1DFDD"/>
    </w:rPr>
  </w:style>
  <w:style w:type="paragraph" w:styleId="NormalWeb">
    <w:name w:val="Normal (Web)"/>
    <w:basedOn w:val="Normal"/>
    <w:uiPriority w:val="99"/>
    <w:semiHidden/>
    <w:unhideWhenUsed/>
    <w:rsid w:val="002C4225"/>
    <w:pPr>
      <w:spacing w:before="100" w:beforeAutospacing="1" w:after="100" w:afterAutospacing="1" w:line="240" w:lineRule="auto"/>
    </w:pPr>
    <w:rPr>
      <w:rFonts w:ascii="Times New Roman" w:eastAsiaTheme="minorEastAsia" w:hAnsi="Times New Roman"/>
      <w:sz w:val="24"/>
      <w:szCs w:val="24"/>
      <w:lang w:eastAsia="da-DK"/>
    </w:rPr>
  </w:style>
  <w:style w:type="paragraph" w:styleId="Sidehoved">
    <w:name w:val="header"/>
    <w:basedOn w:val="Normal"/>
    <w:link w:val="SidehovedTegn"/>
    <w:uiPriority w:val="99"/>
    <w:unhideWhenUsed/>
    <w:rsid w:val="002C4225"/>
    <w:pPr>
      <w:tabs>
        <w:tab w:val="center" w:pos="4819"/>
        <w:tab w:val="right" w:pos="9638"/>
      </w:tabs>
      <w:spacing w:after="0"/>
    </w:pPr>
  </w:style>
  <w:style w:type="character" w:customStyle="1" w:styleId="SidehovedTegn">
    <w:name w:val="Sidehoved Tegn"/>
    <w:basedOn w:val="Standardskrifttypeiafsnit"/>
    <w:link w:val="Sidehoved"/>
    <w:uiPriority w:val="99"/>
    <w:rsid w:val="002C4225"/>
    <w:rPr>
      <w:rFonts w:ascii="Lato" w:hAnsi="Lato" w:cs="Times New Roman"/>
    </w:rPr>
  </w:style>
  <w:style w:type="paragraph" w:styleId="Sidefod">
    <w:name w:val="footer"/>
    <w:basedOn w:val="Normal"/>
    <w:link w:val="SidefodTegn"/>
    <w:uiPriority w:val="99"/>
    <w:unhideWhenUsed/>
    <w:rsid w:val="002C4225"/>
    <w:pPr>
      <w:tabs>
        <w:tab w:val="center" w:pos="4819"/>
        <w:tab w:val="right" w:pos="9638"/>
      </w:tabs>
      <w:spacing w:after="0"/>
    </w:pPr>
  </w:style>
  <w:style w:type="character" w:customStyle="1" w:styleId="SidefodTegn">
    <w:name w:val="Sidefod Tegn"/>
    <w:basedOn w:val="Standardskrifttypeiafsnit"/>
    <w:link w:val="Sidefod"/>
    <w:uiPriority w:val="99"/>
    <w:rsid w:val="002C4225"/>
    <w:rPr>
      <w:rFonts w:ascii="Lato" w:hAnsi="Lato" w:cs="Times New Roman"/>
    </w:rPr>
  </w:style>
  <w:style w:type="paragraph" w:styleId="Korrektur">
    <w:name w:val="Revision"/>
    <w:hidden/>
    <w:uiPriority w:val="99"/>
    <w:semiHidden/>
    <w:rsid w:val="002C4225"/>
    <w:pPr>
      <w:spacing w:after="0" w:line="240" w:lineRule="auto"/>
    </w:pPr>
    <w:rPr>
      <w:rFonts w:ascii="Lato" w:hAnsi="Lato" w:cs="Times New Roman"/>
    </w:rPr>
  </w:style>
  <w:style w:type="table" w:styleId="Tabel-Gitter">
    <w:name w:val="Table Grid"/>
    <w:basedOn w:val="Tabel-Normal"/>
    <w:uiPriority w:val="59"/>
    <w:rsid w:val="002C4225"/>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C4225"/>
    <w:rPr>
      <w:rFonts w:ascii="Bebas Neue" w:eastAsiaTheme="majorEastAsia" w:hAnsi="Bebas Neue" w:cstheme="majorBidi"/>
      <w:bCs/>
      <w:color w:val="07385E"/>
      <w:sz w:val="36"/>
      <w:szCs w:val="36"/>
    </w:rPr>
  </w:style>
  <w:style w:type="character" w:customStyle="1" w:styleId="Overskrift2Tegn">
    <w:name w:val="Overskrift 2 Tegn"/>
    <w:basedOn w:val="Standardskrifttypeiafsnit"/>
    <w:link w:val="Overskrift2"/>
    <w:uiPriority w:val="9"/>
    <w:rsid w:val="002C4225"/>
    <w:rPr>
      <w:rFonts w:ascii="Bebas Neue" w:eastAsiaTheme="majorEastAsia" w:hAnsi="Bebas Neue" w:cstheme="majorBidi"/>
      <w:bCs/>
      <w:color w:val="07385E"/>
      <w:sz w:val="28"/>
      <w:szCs w:val="24"/>
    </w:rPr>
  </w:style>
  <w:style w:type="character" w:customStyle="1" w:styleId="Overskrift3Tegn">
    <w:name w:val="Overskrift 3 Tegn"/>
    <w:basedOn w:val="Standardskrifttypeiafsnit"/>
    <w:link w:val="Overskrift3"/>
    <w:uiPriority w:val="9"/>
    <w:rsid w:val="002C4225"/>
    <w:rPr>
      <w:rFonts w:ascii="Bebas Neue" w:eastAsiaTheme="majorEastAsia" w:hAnsi="Bebas Neue" w:cstheme="majorBidi"/>
      <w:bCs/>
      <w:color w:val="07385E"/>
      <w:sz w:val="24"/>
      <w:szCs w:val="24"/>
    </w:rPr>
  </w:style>
  <w:style w:type="character" w:customStyle="1" w:styleId="Overskrift7Tegn">
    <w:name w:val="Overskrift 7 Tegn"/>
    <w:basedOn w:val="Standardskrifttypeiafsnit"/>
    <w:link w:val="Overskrift7"/>
    <w:uiPriority w:val="9"/>
    <w:semiHidden/>
    <w:rsid w:val="002C42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2C42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C4225"/>
    <w:rPr>
      <w:rFonts w:asciiTheme="majorHAnsi" w:eastAsiaTheme="majorEastAsia" w:hAnsiTheme="majorHAnsi" w:cstheme="majorBidi"/>
      <w:i/>
      <w:iCs/>
      <w:color w:val="272727" w:themeColor="text1" w:themeTint="D8"/>
      <w:sz w:val="21"/>
      <w:szCs w:val="21"/>
    </w:rPr>
  </w:style>
  <w:style w:type="paragraph" w:customStyle="1" w:styleId="BrdtekstCEPOS-notat">
    <w:name w:val="Brødtekst CEPOS-notat"/>
    <w:basedOn w:val="Normal"/>
    <w:link w:val="BrdtekstCEPOS-notatTegn"/>
    <w:rsid w:val="002C4225"/>
    <w:pPr>
      <w:spacing w:before="200" w:after="200"/>
    </w:pPr>
    <w:rPr>
      <w:rFonts w:asciiTheme="minorHAnsi" w:hAnsiTheme="minorHAnsi"/>
      <w:lang w:val="fr-FR"/>
    </w:rPr>
  </w:style>
  <w:style w:type="character" w:customStyle="1" w:styleId="BrdtekstCEPOS-notatTegn">
    <w:name w:val="Brødtekst CEPOS-notat Tegn"/>
    <w:basedOn w:val="Standardskrifttypeiafsnit"/>
    <w:link w:val="BrdtekstCEPOS-notat"/>
    <w:rsid w:val="002C4225"/>
    <w:rPr>
      <w:rFonts w:cs="Times New Roman"/>
      <w:lang w:val="fr-FR"/>
    </w:rPr>
  </w:style>
  <w:style w:type="paragraph" w:styleId="Titel">
    <w:name w:val="Title"/>
    <w:basedOn w:val="Sidehoved"/>
    <w:next w:val="Normal"/>
    <w:link w:val="TitelTegn"/>
    <w:uiPriority w:val="10"/>
    <w:rsid w:val="002C4225"/>
    <w:pPr>
      <w:suppressAutoHyphens/>
      <w:spacing w:before="120" w:after="200"/>
    </w:pPr>
    <w:rPr>
      <w:rFonts w:ascii="Bebas Neue" w:hAnsi="Bebas Neue"/>
      <w:color w:val="FFFFFF" w:themeColor="background1"/>
      <w:sz w:val="52"/>
    </w:rPr>
  </w:style>
  <w:style w:type="character" w:customStyle="1" w:styleId="TitelTegn">
    <w:name w:val="Titel Tegn"/>
    <w:basedOn w:val="Standardskrifttypeiafsnit"/>
    <w:link w:val="Titel"/>
    <w:uiPriority w:val="10"/>
    <w:rsid w:val="002C4225"/>
    <w:rPr>
      <w:rFonts w:ascii="Bebas Neue" w:hAnsi="Bebas Neue" w:cs="Times New Roman"/>
      <w:color w:val="FFFFFF" w:themeColor="background1"/>
      <w:sz w:val="52"/>
    </w:rPr>
  </w:style>
  <w:style w:type="paragraph" w:customStyle="1" w:styleId="Logo">
    <w:name w:val="Logo"/>
    <w:basedOn w:val="Normal"/>
    <w:link w:val="LogoTegn"/>
    <w:rsid w:val="002C4225"/>
    <w:rPr>
      <w:rFonts w:ascii="Bingo Serif" w:hAnsi="Bingo Serif"/>
      <w:color w:val="1F497D" w:themeColor="text2"/>
      <w:sz w:val="56"/>
      <w:lang w:eastAsia="da-DK"/>
    </w:rPr>
  </w:style>
  <w:style w:type="character" w:customStyle="1" w:styleId="LogoTegn">
    <w:name w:val="Logo Tegn"/>
    <w:basedOn w:val="Standardskrifttypeiafsnit"/>
    <w:link w:val="Logo"/>
    <w:rsid w:val="002C4225"/>
    <w:rPr>
      <w:rFonts w:ascii="Bingo Serif" w:hAnsi="Bingo Serif" w:cs="Times New Roman"/>
      <w:color w:val="1F497D" w:themeColor="text2"/>
      <w:sz w:val="56"/>
      <w:lang w:eastAsia="da-DK"/>
    </w:rPr>
  </w:style>
  <w:style w:type="character" w:customStyle="1" w:styleId="Overskrift4Tegn">
    <w:name w:val="Overskrift 4 Tegn"/>
    <w:basedOn w:val="Standardskrifttypeiafsnit"/>
    <w:link w:val="Overskrift4"/>
    <w:uiPriority w:val="9"/>
    <w:rsid w:val="002C4225"/>
    <w:rPr>
      <w:rFonts w:ascii="Bebas Neue" w:eastAsiaTheme="majorEastAsia" w:hAnsi="Bebas Neue" w:cstheme="majorBidi"/>
      <w:bCs/>
      <w:color w:val="07385E"/>
      <w:sz w:val="24"/>
    </w:rPr>
  </w:style>
  <w:style w:type="character" w:customStyle="1" w:styleId="Overskrift5Tegn">
    <w:name w:val="Overskrift 5 Tegn"/>
    <w:basedOn w:val="Standardskrifttypeiafsnit"/>
    <w:link w:val="Overskrift5"/>
    <w:uiPriority w:val="9"/>
    <w:rsid w:val="002C4225"/>
    <w:rPr>
      <w:rFonts w:ascii="Bebas Neue" w:eastAsiaTheme="majorEastAsia" w:hAnsi="Bebas Neue" w:cstheme="majorBidi"/>
      <w:bCs/>
      <w:color w:val="07385E"/>
      <w:sz w:val="29"/>
      <w:szCs w:val="29"/>
    </w:rPr>
  </w:style>
  <w:style w:type="character" w:customStyle="1" w:styleId="Overskrift6Tegn">
    <w:name w:val="Overskrift 6 Tegn"/>
    <w:basedOn w:val="Standardskrifttypeiafsnit"/>
    <w:link w:val="Overskrift6"/>
    <w:uiPriority w:val="9"/>
    <w:rsid w:val="002C4225"/>
    <w:rPr>
      <w:rFonts w:ascii="Bebas Neue" w:eastAsiaTheme="majorEastAsia" w:hAnsi="Bebas Neue" w:cstheme="majorBidi"/>
      <w:bCs/>
      <w:color w:val="07385E"/>
      <w:sz w:val="26"/>
      <w:szCs w:val="26"/>
    </w:rPr>
  </w:style>
  <w:style w:type="paragraph" w:customStyle="1" w:styleId="ListeCEPOS-notat">
    <w:name w:val="Liste CEPOS-notat"/>
    <w:basedOn w:val="Normal"/>
    <w:link w:val="ListeCEPOS-notatTegn"/>
    <w:rsid w:val="002C4225"/>
    <w:pPr>
      <w:numPr>
        <w:numId w:val="12"/>
      </w:numPr>
    </w:pPr>
  </w:style>
  <w:style w:type="paragraph" w:customStyle="1" w:styleId="Punktopstilling">
    <w:name w:val="Punktopstilling"/>
    <w:basedOn w:val="ListeCEPOS-notat"/>
    <w:link w:val="PunktopstillingTegn"/>
    <w:qFormat/>
    <w:rsid w:val="002C4225"/>
    <w:pPr>
      <w:ind w:left="714" w:hanging="357"/>
      <w:contextualSpacing/>
    </w:pPr>
  </w:style>
  <w:style w:type="paragraph" w:customStyle="1" w:styleId="Nummereretliste">
    <w:name w:val="Nummereret liste"/>
    <w:basedOn w:val="Punktopstilling"/>
    <w:link w:val="NummereretlisteTegn"/>
    <w:qFormat/>
    <w:rsid w:val="002C4225"/>
    <w:pPr>
      <w:numPr>
        <w:numId w:val="14"/>
      </w:numPr>
    </w:pPr>
  </w:style>
  <w:style w:type="character" w:customStyle="1" w:styleId="ListeCEPOS-notatTegn">
    <w:name w:val="Liste CEPOS-notat Tegn"/>
    <w:basedOn w:val="Standardskrifttypeiafsnit"/>
    <w:link w:val="ListeCEPOS-notat"/>
    <w:rsid w:val="002C4225"/>
    <w:rPr>
      <w:rFonts w:ascii="Lato" w:hAnsi="Lato" w:cs="Times New Roman"/>
    </w:rPr>
  </w:style>
  <w:style w:type="character" w:customStyle="1" w:styleId="PunktopstillingTegn">
    <w:name w:val="Punktopstilling Tegn"/>
    <w:basedOn w:val="ListeCEPOS-notatTegn"/>
    <w:link w:val="Punktopstilling"/>
    <w:rsid w:val="002C4225"/>
    <w:rPr>
      <w:rFonts w:ascii="Lato" w:hAnsi="Lato" w:cs="Times New Roman"/>
    </w:rPr>
  </w:style>
  <w:style w:type="character" w:customStyle="1" w:styleId="NummereretlisteTegn">
    <w:name w:val="Nummereret liste Tegn"/>
    <w:basedOn w:val="PunktopstillingTegn"/>
    <w:link w:val="Nummereretliste"/>
    <w:rsid w:val="002C4225"/>
    <w:rPr>
      <w:rFonts w:ascii="Lato" w:hAnsi="Lato" w:cs="Times New Roman"/>
    </w:rPr>
  </w:style>
  <w:style w:type="paragraph" w:customStyle="1" w:styleId="Resum">
    <w:name w:val="Resumé"/>
    <w:basedOn w:val="Normal"/>
    <w:link w:val="ResumTegn"/>
    <w:qFormat/>
    <w:rsid w:val="002C4225"/>
    <w:pPr>
      <w:spacing w:line="240" w:lineRule="auto"/>
    </w:pPr>
    <w:rPr>
      <w:i/>
    </w:rPr>
  </w:style>
  <w:style w:type="character" w:customStyle="1" w:styleId="ResumTegn">
    <w:name w:val="Resumé Tegn"/>
    <w:basedOn w:val="Standardskrifttypeiafsnit"/>
    <w:link w:val="Resum"/>
    <w:rsid w:val="002C4225"/>
    <w:rPr>
      <w:rFonts w:ascii="Lato" w:hAnsi="Lato" w:cs="Times New Roman"/>
      <w:i/>
    </w:rPr>
  </w:style>
  <w:style w:type="paragraph" w:customStyle="1" w:styleId="Margentekstfigur">
    <w:name w:val="Margentekst figur"/>
    <w:basedOn w:val="Normal"/>
    <w:link w:val="MargentekstfigurTegn"/>
    <w:rsid w:val="002C4225"/>
    <w:pPr>
      <w:spacing w:after="0" w:line="240" w:lineRule="auto"/>
    </w:pPr>
    <w:rPr>
      <w:b/>
      <w:color w:val="1F497D" w:themeColor="text2"/>
    </w:rPr>
  </w:style>
  <w:style w:type="paragraph" w:customStyle="1" w:styleId="Undertekstfigur">
    <w:name w:val="Undertekst figur"/>
    <w:basedOn w:val="Normal"/>
    <w:link w:val="UndertekstfigurTegn"/>
    <w:qFormat/>
    <w:rsid w:val="002C4225"/>
    <w:pPr>
      <w:spacing w:before="100" w:after="100"/>
    </w:pPr>
    <w:rPr>
      <w:i/>
      <w:sz w:val="19"/>
      <w:szCs w:val="19"/>
    </w:rPr>
  </w:style>
  <w:style w:type="character" w:customStyle="1" w:styleId="MargentekstfigurTegn">
    <w:name w:val="Margentekst figur Tegn"/>
    <w:basedOn w:val="Standardskrifttypeiafsnit"/>
    <w:link w:val="Margentekstfigur"/>
    <w:rsid w:val="002C4225"/>
    <w:rPr>
      <w:rFonts w:ascii="Lato" w:hAnsi="Lato" w:cs="Times New Roman"/>
      <w:b/>
      <w:color w:val="1F497D" w:themeColor="text2"/>
    </w:rPr>
  </w:style>
  <w:style w:type="character" w:customStyle="1" w:styleId="UndertekstfigurTegn">
    <w:name w:val="Undertekst figur Tegn"/>
    <w:basedOn w:val="Standardskrifttypeiafsnit"/>
    <w:link w:val="Undertekstfigur"/>
    <w:rsid w:val="002C4225"/>
    <w:rPr>
      <w:rFonts w:ascii="Lato" w:hAnsi="Lato" w:cs="Times New Roman"/>
      <w:i/>
      <w:sz w:val="19"/>
      <w:szCs w:val="19"/>
    </w:rPr>
  </w:style>
  <w:style w:type="paragraph" w:customStyle="1" w:styleId="Sidefodtekst">
    <w:name w:val="Sidefodtekst"/>
    <w:basedOn w:val="Sidefod"/>
    <w:link w:val="SidefodtekstTegn"/>
    <w:rsid w:val="002C4225"/>
    <w:pPr>
      <w:tabs>
        <w:tab w:val="clear" w:pos="9638"/>
        <w:tab w:val="right" w:pos="8364"/>
      </w:tabs>
      <w:jc w:val="right"/>
    </w:pPr>
    <w:rPr>
      <w:rFonts w:ascii="Bebas Neue" w:hAnsi="Bebas Neue"/>
      <w:color w:val="B0998E"/>
      <w:sz w:val="28"/>
      <w:szCs w:val="28"/>
    </w:rPr>
  </w:style>
  <w:style w:type="character" w:customStyle="1" w:styleId="SidefodtekstTegn">
    <w:name w:val="Sidefodtekst Tegn"/>
    <w:basedOn w:val="SidefodTegn"/>
    <w:link w:val="Sidefodtekst"/>
    <w:rsid w:val="002C4225"/>
    <w:rPr>
      <w:rFonts w:ascii="Bebas Neue" w:hAnsi="Bebas Neue" w:cs="Times New Roman"/>
      <w:color w:val="B0998E"/>
      <w:sz w:val="28"/>
      <w:szCs w:val="28"/>
    </w:rPr>
  </w:style>
  <w:style w:type="character" w:styleId="Pladsholdertekst">
    <w:name w:val="Placeholder Text"/>
    <w:basedOn w:val="Standardskrifttypeiafsnit"/>
    <w:uiPriority w:val="99"/>
    <w:semiHidden/>
    <w:rsid w:val="002C4225"/>
    <w:rPr>
      <w:color w:val="808080"/>
    </w:rPr>
  </w:style>
  <w:style w:type="paragraph" w:customStyle="1" w:styleId="Sidehovedtekst">
    <w:name w:val="Sidehovedtekst"/>
    <w:basedOn w:val="Sidehoved"/>
    <w:link w:val="SidehovedtekstTegn"/>
    <w:rsid w:val="002C4225"/>
    <w:pPr>
      <w:jc w:val="right"/>
    </w:pPr>
    <w:rPr>
      <w:rFonts w:ascii="Bebas Neue" w:hAnsi="Bebas Neue"/>
      <w:color w:val="07385E"/>
      <w:sz w:val="30"/>
      <w:szCs w:val="30"/>
    </w:rPr>
  </w:style>
  <w:style w:type="character" w:customStyle="1" w:styleId="SidehovedtekstTegn">
    <w:name w:val="Sidehovedtekst Tegn"/>
    <w:basedOn w:val="SidehovedTegn"/>
    <w:link w:val="Sidehovedtekst"/>
    <w:rsid w:val="002C4225"/>
    <w:rPr>
      <w:rFonts w:ascii="Bebas Neue" w:hAnsi="Bebas Neue" w:cs="Times New Roman"/>
      <w:color w:val="07385E"/>
      <w:sz w:val="30"/>
      <w:szCs w:val="30"/>
    </w:rPr>
  </w:style>
  <w:style w:type="paragraph" w:customStyle="1" w:styleId="Tabeltekst">
    <w:name w:val="Tabeltekst"/>
    <w:basedOn w:val="Normal"/>
    <w:link w:val="TabeltekstTegn"/>
    <w:qFormat/>
    <w:rsid w:val="002C4225"/>
    <w:pPr>
      <w:keepNext/>
      <w:keepLines/>
      <w:spacing w:after="0"/>
    </w:pPr>
    <w:rPr>
      <w:bCs/>
      <w:sz w:val="18"/>
      <w:szCs w:val="18"/>
      <w:lang w:eastAsia="da-DK"/>
    </w:rPr>
  </w:style>
  <w:style w:type="character" w:customStyle="1" w:styleId="TabeltekstTegn">
    <w:name w:val="Tabeltekst Tegn"/>
    <w:basedOn w:val="Standardskrifttypeiafsnit"/>
    <w:link w:val="Tabeltekst"/>
    <w:rsid w:val="002C4225"/>
    <w:rPr>
      <w:rFonts w:ascii="Lato" w:hAnsi="Lato" w:cs="Times New Roman"/>
      <w:bCs/>
      <w:sz w:val="18"/>
      <w:szCs w:val="18"/>
      <w:lang w:eastAsia="da-DK"/>
    </w:rPr>
  </w:style>
  <w:style w:type="table" w:customStyle="1" w:styleId="CEPOS-tabeludenfrstekolonne">
    <w:name w:val="CEPOS-tabel uden første kolonne"/>
    <w:basedOn w:val="Mediumskygge1-farve1"/>
    <w:uiPriority w:val="99"/>
    <w:rsid w:val="002C4225"/>
    <w:rPr>
      <w:rFonts w:ascii="Lato" w:hAnsi="Lato"/>
      <w:sz w:val="21"/>
      <w:szCs w:val="20"/>
      <w:lang w:eastAsia="da-DK"/>
    </w:rPr>
    <w:tblPr>
      <w:tblBorders>
        <w:top w:val="single" w:sz="4" w:space="0" w:color="07385E"/>
        <w:left w:val="single" w:sz="4" w:space="0" w:color="07385E"/>
        <w:bottom w:val="single" w:sz="4" w:space="0" w:color="07385E"/>
        <w:right w:val="single" w:sz="4" w:space="0" w:color="07385E"/>
        <w:insideH w:val="single" w:sz="4" w:space="0" w:color="07385E"/>
      </w:tblBorders>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7385E"/>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tcPr>
    </w:tblStylePr>
  </w:style>
  <w:style w:type="table" w:styleId="Mediumskygge1-farve1">
    <w:name w:val="Medium Shading 1 Accent 1"/>
    <w:basedOn w:val="Tabel-Normal"/>
    <w:uiPriority w:val="63"/>
    <w:rsid w:val="002C4225"/>
    <w:pPr>
      <w:spacing w:after="0" w:line="240" w:lineRule="auto"/>
    </w:pPr>
    <w:rPr>
      <w:rFonts w:ascii="Times New Roman" w:hAnsi="Times New Roman" w:cs="Times New Roman"/>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afstand">
    <w:name w:val="No Spacing"/>
    <w:uiPriority w:val="1"/>
    <w:qFormat/>
    <w:rsid w:val="002C4225"/>
    <w:pPr>
      <w:spacing w:after="0" w:line="240" w:lineRule="auto"/>
    </w:pPr>
    <w:rPr>
      <w:rFonts w:ascii="Lato" w:hAnsi="Lato"/>
    </w:rPr>
  </w:style>
  <w:style w:type="paragraph" w:customStyle="1" w:styleId="Default">
    <w:name w:val="Default"/>
    <w:rsid w:val="002C4225"/>
    <w:pPr>
      <w:autoSpaceDE w:val="0"/>
      <w:autoSpaceDN w:val="0"/>
      <w:adjustRightInd w:val="0"/>
      <w:spacing w:after="0" w:line="240" w:lineRule="auto"/>
    </w:pPr>
    <w:rPr>
      <w:rFonts w:ascii="Arial" w:hAnsi="Arial" w:cs="Arial"/>
      <w:color w:val="000000"/>
      <w:sz w:val="24"/>
      <w:szCs w:val="24"/>
    </w:rPr>
  </w:style>
  <w:style w:type="paragraph" w:customStyle="1" w:styleId="StorLogo">
    <w:name w:val="StorLogo"/>
    <w:basedOn w:val="Normal"/>
    <w:link w:val="StorLogoTegn"/>
    <w:rsid w:val="002C4225"/>
    <w:rPr>
      <w:rFonts w:ascii="Bingo Serif" w:hAnsi="Bingo Serif"/>
      <w:color w:val="D9D9D6"/>
      <w:sz w:val="760"/>
      <w:szCs w:val="760"/>
    </w:rPr>
  </w:style>
  <w:style w:type="paragraph" w:styleId="Slutnotetekst">
    <w:name w:val="endnote text"/>
    <w:basedOn w:val="Normal"/>
    <w:link w:val="SlutnotetekstTegn"/>
    <w:uiPriority w:val="99"/>
    <w:semiHidden/>
    <w:unhideWhenUsed/>
    <w:rsid w:val="002C4225"/>
    <w:pPr>
      <w:spacing w:after="0"/>
    </w:pPr>
    <w:rPr>
      <w:szCs w:val="20"/>
    </w:rPr>
  </w:style>
  <w:style w:type="character" w:customStyle="1" w:styleId="SlutnotetekstTegn">
    <w:name w:val="Slutnotetekst Tegn"/>
    <w:basedOn w:val="Standardskrifttypeiafsnit"/>
    <w:link w:val="Slutnotetekst"/>
    <w:uiPriority w:val="99"/>
    <w:semiHidden/>
    <w:rsid w:val="002C4225"/>
    <w:rPr>
      <w:rFonts w:ascii="Lato" w:hAnsi="Lato" w:cs="Times New Roman"/>
      <w:szCs w:val="20"/>
    </w:rPr>
  </w:style>
  <w:style w:type="character" w:customStyle="1" w:styleId="StorLogoTegn">
    <w:name w:val="StorLogo Tegn"/>
    <w:basedOn w:val="Standardskrifttypeiafsnit"/>
    <w:link w:val="StorLogo"/>
    <w:rsid w:val="002C4225"/>
    <w:rPr>
      <w:rFonts w:ascii="Bingo Serif" w:hAnsi="Bingo Serif" w:cs="Times New Roman"/>
      <w:color w:val="D9D9D6"/>
      <w:sz w:val="760"/>
      <w:szCs w:val="760"/>
    </w:rPr>
  </w:style>
  <w:style w:type="character" w:styleId="Slutnotehenvisning">
    <w:name w:val="endnote reference"/>
    <w:basedOn w:val="Standardskrifttypeiafsnit"/>
    <w:uiPriority w:val="99"/>
    <w:semiHidden/>
    <w:unhideWhenUsed/>
    <w:rsid w:val="002C4225"/>
    <w:rPr>
      <w:vertAlign w:val="superscript"/>
    </w:rPr>
  </w:style>
  <w:style w:type="paragraph" w:customStyle="1" w:styleId="StortLogo">
    <w:name w:val="StortLogo"/>
    <w:basedOn w:val="Normal"/>
    <w:link w:val="StortLogoTegn"/>
    <w:rsid w:val="002C4225"/>
  </w:style>
  <w:style w:type="character" w:customStyle="1" w:styleId="StortLogoTegn">
    <w:name w:val="StortLogo Tegn"/>
    <w:basedOn w:val="Standardskrifttypeiafsnit"/>
    <w:link w:val="StortLogo"/>
    <w:rsid w:val="002C4225"/>
    <w:rPr>
      <w:rFonts w:ascii="Lato" w:hAnsi="Lato" w:cs="Times New Roman"/>
    </w:rPr>
  </w:style>
  <w:style w:type="character" w:styleId="Kommentarhenvisning">
    <w:name w:val="annotation reference"/>
    <w:basedOn w:val="Standardskrifttypeiafsnit"/>
    <w:uiPriority w:val="99"/>
    <w:semiHidden/>
    <w:unhideWhenUsed/>
    <w:rsid w:val="002C4225"/>
    <w:rPr>
      <w:sz w:val="16"/>
      <w:szCs w:val="16"/>
    </w:rPr>
  </w:style>
  <w:style w:type="paragraph" w:styleId="Kommentartekst">
    <w:name w:val="annotation text"/>
    <w:basedOn w:val="Normal"/>
    <w:link w:val="KommentartekstTegn"/>
    <w:uiPriority w:val="99"/>
    <w:unhideWhenUsed/>
    <w:rsid w:val="002C4225"/>
    <w:pPr>
      <w:spacing w:line="240" w:lineRule="auto"/>
    </w:pPr>
    <w:rPr>
      <w:sz w:val="20"/>
      <w:szCs w:val="20"/>
    </w:rPr>
  </w:style>
  <w:style w:type="character" w:customStyle="1" w:styleId="KommentartekstTegn">
    <w:name w:val="Kommentartekst Tegn"/>
    <w:basedOn w:val="Standardskrifttypeiafsnit"/>
    <w:link w:val="Kommentartekst"/>
    <w:uiPriority w:val="99"/>
    <w:rsid w:val="002C4225"/>
    <w:rPr>
      <w:rFonts w:ascii="Lato" w:hAnsi="Lato" w:cs="Times New Roman"/>
      <w:sz w:val="20"/>
      <w:szCs w:val="20"/>
    </w:rPr>
  </w:style>
  <w:style w:type="paragraph" w:styleId="Kommentaremne">
    <w:name w:val="annotation subject"/>
    <w:basedOn w:val="Kommentartekst"/>
    <w:next w:val="Kommentartekst"/>
    <w:link w:val="KommentaremneTegn"/>
    <w:uiPriority w:val="99"/>
    <w:semiHidden/>
    <w:unhideWhenUsed/>
    <w:rsid w:val="002C4225"/>
    <w:rPr>
      <w:b/>
      <w:bCs/>
    </w:rPr>
  </w:style>
  <w:style w:type="character" w:customStyle="1" w:styleId="KommentaremneTegn">
    <w:name w:val="Kommentaremne Tegn"/>
    <w:basedOn w:val="KommentartekstTegn"/>
    <w:link w:val="Kommentaremne"/>
    <w:uiPriority w:val="99"/>
    <w:semiHidden/>
    <w:rsid w:val="002C4225"/>
    <w:rPr>
      <w:rFonts w:ascii="Lato" w:hAnsi="Lato" w:cs="Times New Roman"/>
      <w:b/>
      <w:bCs/>
      <w:sz w:val="20"/>
      <w:szCs w:val="20"/>
    </w:rPr>
  </w:style>
  <w:style w:type="paragraph" w:styleId="Indholdsfortegnelse1">
    <w:name w:val="toc 1"/>
    <w:basedOn w:val="Normal"/>
    <w:next w:val="Normal"/>
    <w:autoRedefine/>
    <w:uiPriority w:val="39"/>
    <w:unhideWhenUsed/>
    <w:rsid w:val="002C4225"/>
    <w:pPr>
      <w:tabs>
        <w:tab w:val="right" w:leader="dot" w:pos="9202"/>
      </w:tabs>
      <w:spacing w:after="100"/>
      <w:ind w:left="567" w:hanging="567"/>
    </w:pPr>
  </w:style>
  <w:style w:type="paragraph" w:customStyle="1" w:styleId="NumberedHeading1">
    <w:name w:val="Numbered Heading 1"/>
    <w:basedOn w:val="Overskrift2"/>
    <w:next w:val="Normal"/>
    <w:link w:val="NumberedHeading1Char"/>
    <w:rsid w:val="002C4225"/>
    <w:pPr>
      <w:numPr>
        <w:ilvl w:val="0"/>
        <w:numId w:val="29"/>
      </w:numPr>
      <w:ind w:left="426" w:hanging="392"/>
    </w:pPr>
    <w:rPr>
      <w:noProof/>
      <w:sz w:val="36"/>
      <w:lang w:eastAsia="da-DK"/>
    </w:rPr>
  </w:style>
  <w:style w:type="character" w:customStyle="1" w:styleId="NumberedHeading1Char">
    <w:name w:val="Numbered Heading 1 Char"/>
    <w:basedOn w:val="Overskrift2Tegn"/>
    <w:link w:val="NumberedHeading1"/>
    <w:rsid w:val="002C4225"/>
    <w:rPr>
      <w:rFonts w:ascii="Bebas Neue" w:eastAsiaTheme="majorEastAsia" w:hAnsi="Bebas Neue" w:cstheme="majorBidi"/>
      <w:bCs/>
      <w:noProof/>
      <w:color w:val="07385E"/>
      <w:sz w:val="36"/>
      <w:szCs w:val="24"/>
      <w:lang w:eastAsia="da-DK"/>
    </w:rPr>
  </w:style>
  <w:style w:type="paragraph" w:styleId="Indholdsfortegnelse2">
    <w:name w:val="toc 2"/>
    <w:basedOn w:val="Normal"/>
    <w:next w:val="Normal"/>
    <w:autoRedefine/>
    <w:uiPriority w:val="39"/>
    <w:unhideWhenUsed/>
    <w:rsid w:val="002C4225"/>
    <w:pPr>
      <w:tabs>
        <w:tab w:val="right" w:leader="dot" w:pos="9202"/>
      </w:tabs>
      <w:spacing w:after="100"/>
      <w:ind w:left="567" w:hanging="425"/>
    </w:pPr>
  </w:style>
  <w:style w:type="character" w:customStyle="1" w:styleId="UnresolvedMention1">
    <w:name w:val="Unresolved Mention1"/>
    <w:basedOn w:val="Standardskrifttypeiafsnit"/>
    <w:uiPriority w:val="99"/>
    <w:semiHidden/>
    <w:unhideWhenUsed/>
    <w:rsid w:val="002C4225"/>
    <w:rPr>
      <w:color w:val="808080"/>
      <w:shd w:val="clear" w:color="auto" w:fill="E6E6E6"/>
    </w:rPr>
  </w:style>
  <w:style w:type="character" w:styleId="BesgtLink">
    <w:name w:val="FollowedHyperlink"/>
    <w:basedOn w:val="Standardskrifttypeiafsnit"/>
    <w:uiPriority w:val="99"/>
    <w:semiHidden/>
    <w:unhideWhenUsed/>
    <w:rsid w:val="002C4225"/>
    <w:rPr>
      <w:color w:val="800080" w:themeColor="followedHyperlink"/>
      <w:u w:val="single"/>
    </w:rPr>
  </w:style>
  <w:style w:type="paragraph" w:styleId="Brdtekst">
    <w:name w:val="Body Text"/>
    <w:basedOn w:val="Normal"/>
    <w:link w:val="BrdtekstTegn"/>
    <w:uiPriority w:val="99"/>
    <w:unhideWhenUsed/>
    <w:rsid w:val="002C4225"/>
    <w:pPr>
      <w:spacing w:after="120"/>
    </w:pPr>
  </w:style>
  <w:style w:type="character" w:customStyle="1" w:styleId="BrdtekstTegn">
    <w:name w:val="Brødtekst Tegn"/>
    <w:basedOn w:val="Standardskrifttypeiafsnit"/>
    <w:link w:val="Brdtekst"/>
    <w:uiPriority w:val="99"/>
    <w:rsid w:val="002C4225"/>
    <w:rPr>
      <w:rFonts w:ascii="Lato" w:hAnsi="Lato" w:cs="Times New Roman"/>
    </w:rPr>
  </w:style>
  <w:style w:type="table" w:customStyle="1" w:styleId="TableGridLight1">
    <w:name w:val="Table Grid Light1"/>
    <w:basedOn w:val="Tabel-Normal"/>
    <w:uiPriority w:val="40"/>
    <w:rsid w:val="002C4225"/>
    <w:pPr>
      <w:spacing w:after="0" w:line="240" w:lineRule="auto"/>
    </w:pPr>
    <w:rPr>
      <w:rFonts w:ascii="Times New Roman" w:hAnsi="Times New Roman" w:cs="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lledtekst">
    <w:name w:val="caption"/>
    <w:basedOn w:val="Figur-titel"/>
    <w:next w:val="Normal"/>
    <w:uiPriority w:val="35"/>
    <w:unhideWhenUsed/>
    <w:qFormat/>
    <w:rsid w:val="002C4225"/>
  </w:style>
  <w:style w:type="paragraph" w:customStyle="1" w:styleId="Footnotes">
    <w:name w:val="Footnotes"/>
    <w:basedOn w:val="Fodnotetekst"/>
    <w:link w:val="FootnotesChar"/>
    <w:rsid w:val="002C4225"/>
    <w:pPr>
      <w:spacing w:after="240"/>
      <w:ind w:left="98" w:hanging="98"/>
      <w:contextualSpacing/>
    </w:pPr>
  </w:style>
  <w:style w:type="character" w:customStyle="1" w:styleId="FootnotesChar">
    <w:name w:val="Footnotes Char"/>
    <w:basedOn w:val="FodnotetekstTegn"/>
    <w:link w:val="Footnotes"/>
    <w:rsid w:val="002C4225"/>
    <w:rPr>
      <w:rFonts w:ascii="Lato" w:hAnsi="Lato" w:cs="Times New Roman"/>
      <w:sz w:val="16"/>
      <w:szCs w:val="16"/>
    </w:rPr>
  </w:style>
  <w:style w:type="paragraph" w:styleId="Bibliografi">
    <w:name w:val="Bibliography"/>
    <w:basedOn w:val="Normal"/>
    <w:next w:val="Normal"/>
    <w:uiPriority w:val="37"/>
    <w:unhideWhenUsed/>
    <w:rsid w:val="002C4225"/>
    <w:pPr>
      <w:spacing w:after="0" w:line="240" w:lineRule="auto"/>
      <w:ind w:left="720" w:hanging="720"/>
    </w:pPr>
  </w:style>
  <w:style w:type="character" w:customStyle="1" w:styleId="fontstyle01">
    <w:name w:val="fontstyle01"/>
    <w:basedOn w:val="Standardskrifttypeiafsnit"/>
    <w:rsid w:val="002C4225"/>
    <w:rPr>
      <w:rFonts w:ascii="Lato-Regular" w:hAnsi="Lato-Regular" w:hint="default"/>
      <w:b w:val="0"/>
      <w:bCs w:val="0"/>
      <w:i w:val="0"/>
      <w:iCs w:val="0"/>
      <w:color w:val="000000"/>
      <w:sz w:val="22"/>
      <w:szCs w:val="22"/>
    </w:rPr>
  </w:style>
  <w:style w:type="paragraph" w:customStyle="1" w:styleId="Figur-titel">
    <w:name w:val="Figur-titel"/>
    <w:basedOn w:val="Margentekstfigur"/>
    <w:link w:val="Figur-titelChar"/>
    <w:rsid w:val="002C4225"/>
    <w:pPr>
      <w:keepNext/>
      <w:keepLines/>
      <w:ind w:left="890" w:hanging="890"/>
    </w:pPr>
    <w:rPr>
      <w:bCs/>
      <w:color w:val="FFFFFF" w:themeColor="background1"/>
      <w:sz w:val="24"/>
      <w:szCs w:val="20"/>
      <w:lang w:eastAsia="da-DK"/>
    </w:rPr>
  </w:style>
  <w:style w:type="character" w:customStyle="1" w:styleId="Figur-titelChar">
    <w:name w:val="Figur-titel Char"/>
    <w:basedOn w:val="MargentekstfigurTegn"/>
    <w:link w:val="Figur-titel"/>
    <w:rsid w:val="002C4225"/>
    <w:rPr>
      <w:rFonts w:ascii="Lato" w:hAnsi="Lato" w:cs="Times New Roman"/>
      <w:b/>
      <w:bCs/>
      <w:color w:val="FFFFFF" w:themeColor="background1"/>
      <w:sz w:val="24"/>
      <w:szCs w:val="20"/>
      <w:lang w:eastAsia="da-DK"/>
    </w:rPr>
  </w:style>
  <w:style w:type="paragraph" w:styleId="Overskrift">
    <w:name w:val="TOC Heading"/>
    <w:basedOn w:val="Overskrift1"/>
    <w:next w:val="Normal"/>
    <w:uiPriority w:val="39"/>
    <w:unhideWhenUsed/>
    <w:qFormat/>
    <w:rsid w:val="002C4225"/>
    <w:pPr>
      <w:numPr>
        <w:numId w:val="0"/>
      </w:numPr>
      <w:spacing w:before="240" w:line="259" w:lineRule="auto"/>
      <w:outlineLvl w:val="9"/>
    </w:pPr>
    <w:rPr>
      <w:rFonts w:asciiTheme="majorHAnsi" w:hAnsiTheme="majorHAnsi"/>
      <w:bCs w:val="0"/>
      <w:color w:val="365F91" w:themeColor="accent1" w:themeShade="BF"/>
      <w:sz w:val="32"/>
      <w:szCs w:val="32"/>
      <w:lang w:eastAsia="da-DK"/>
    </w:rPr>
  </w:style>
  <w:style w:type="paragraph" w:styleId="Indholdsfortegnelse3">
    <w:name w:val="toc 3"/>
    <w:basedOn w:val="Normal"/>
    <w:next w:val="Normal"/>
    <w:autoRedefine/>
    <w:uiPriority w:val="39"/>
    <w:unhideWhenUsed/>
    <w:rsid w:val="00157C04"/>
    <w:pPr>
      <w:spacing w:after="100" w:line="259" w:lineRule="auto"/>
      <w:ind w:left="440"/>
    </w:pPr>
    <w:rPr>
      <w:rFonts w:asciiTheme="minorHAnsi" w:eastAsiaTheme="minorEastAsia" w:hAnsiTheme="minorHAns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750">
      <w:bodyDiv w:val="1"/>
      <w:marLeft w:val="0"/>
      <w:marRight w:val="0"/>
      <w:marTop w:val="0"/>
      <w:marBottom w:val="0"/>
      <w:divBdr>
        <w:top w:val="none" w:sz="0" w:space="0" w:color="auto"/>
        <w:left w:val="none" w:sz="0" w:space="0" w:color="auto"/>
        <w:bottom w:val="none" w:sz="0" w:space="0" w:color="auto"/>
        <w:right w:val="none" w:sz="0" w:space="0" w:color="auto"/>
      </w:divBdr>
    </w:div>
    <w:div w:id="94139485">
      <w:bodyDiv w:val="1"/>
      <w:marLeft w:val="0"/>
      <w:marRight w:val="0"/>
      <w:marTop w:val="0"/>
      <w:marBottom w:val="0"/>
      <w:divBdr>
        <w:top w:val="none" w:sz="0" w:space="0" w:color="auto"/>
        <w:left w:val="none" w:sz="0" w:space="0" w:color="auto"/>
        <w:bottom w:val="none" w:sz="0" w:space="0" w:color="auto"/>
        <w:right w:val="none" w:sz="0" w:space="0" w:color="auto"/>
      </w:divBdr>
    </w:div>
    <w:div w:id="135535497">
      <w:bodyDiv w:val="1"/>
      <w:marLeft w:val="0"/>
      <w:marRight w:val="0"/>
      <w:marTop w:val="0"/>
      <w:marBottom w:val="0"/>
      <w:divBdr>
        <w:top w:val="none" w:sz="0" w:space="0" w:color="auto"/>
        <w:left w:val="none" w:sz="0" w:space="0" w:color="auto"/>
        <w:bottom w:val="none" w:sz="0" w:space="0" w:color="auto"/>
        <w:right w:val="none" w:sz="0" w:space="0" w:color="auto"/>
      </w:divBdr>
    </w:div>
    <w:div w:id="163670335">
      <w:bodyDiv w:val="1"/>
      <w:marLeft w:val="0"/>
      <w:marRight w:val="0"/>
      <w:marTop w:val="0"/>
      <w:marBottom w:val="0"/>
      <w:divBdr>
        <w:top w:val="none" w:sz="0" w:space="0" w:color="auto"/>
        <w:left w:val="none" w:sz="0" w:space="0" w:color="auto"/>
        <w:bottom w:val="none" w:sz="0" w:space="0" w:color="auto"/>
        <w:right w:val="none" w:sz="0" w:space="0" w:color="auto"/>
      </w:divBdr>
    </w:div>
    <w:div w:id="182793988">
      <w:bodyDiv w:val="1"/>
      <w:marLeft w:val="0"/>
      <w:marRight w:val="0"/>
      <w:marTop w:val="0"/>
      <w:marBottom w:val="0"/>
      <w:divBdr>
        <w:top w:val="none" w:sz="0" w:space="0" w:color="auto"/>
        <w:left w:val="none" w:sz="0" w:space="0" w:color="auto"/>
        <w:bottom w:val="none" w:sz="0" w:space="0" w:color="auto"/>
        <w:right w:val="none" w:sz="0" w:space="0" w:color="auto"/>
      </w:divBdr>
    </w:div>
    <w:div w:id="183130512">
      <w:bodyDiv w:val="1"/>
      <w:marLeft w:val="0"/>
      <w:marRight w:val="0"/>
      <w:marTop w:val="0"/>
      <w:marBottom w:val="0"/>
      <w:divBdr>
        <w:top w:val="none" w:sz="0" w:space="0" w:color="auto"/>
        <w:left w:val="none" w:sz="0" w:space="0" w:color="auto"/>
        <w:bottom w:val="none" w:sz="0" w:space="0" w:color="auto"/>
        <w:right w:val="none" w:sz="0" w:space="0" w:color="auto"/>
      </w:divBdr>
    </w:div>
    <w:div w:id="191767503">
      <w:bodyDiv w:val="1"/>
      <w:marLeft w:val="0"/>
      <w:marRight w:val="0"/>
      <w:marTop w:val="0"/>
      <w:marBottom w:val="0"/>
      <w:divBdr>
        <w:top w:val="none" w:sz="0" w:space="0" w:color="auto"/>
        <w:left w:val="none" w:sz="0" w:space="0" w:color="auto"/>
        <w:bottom w:val="none" w:sz="0" w:space="0" w:color="auto"/>
        <w:right w:val="none" w:sz="0" w:space="0" w:color="auto"/>
      </w:divBdr>
    </w:div>
    <w:div w:id="222447915">
      <w:bodyDiv w:val="1"/>
      <w:marLeft w:val="0"/>
      <w:marRight w:val="0"/>
      <w:marTop w:val="0"/>
      <w:marBottom w:val="0"/>
      <w:divBdr>
        <w:top w:val="none" w:sz="0" w:space="0" w:color="auto"/>
        <w:left w:val="none" w:sz="0" w:space="0" w:color="auto"/>
        <w:bottom w:val="none" w:sz="0" w:space="0" w:color="auto"/>
        <w:right w:val="none" w:sz="0" w:space="0" w:color="auto"/>
      </w:divBdr>
    </w:div>
    <w:div w:id="226570218">
      <w:bodyDiv w:val="1"/>
      <w:marLeft w:val="0"/>
      <w:marRight w:val="0"/>
      <w:marTop w:val="0"/>
      <w:marBottom w:val="0"/>
      <w:divBdr>
        <w:top w:val="none" w:sz="0" w:space="0" w:color="auto"/>
        <w:left w:val="none" w:sz="0" w:space="0" w:color="auto"/>
        <w:bottom w:val="none" w:sz="0" w:space="0" w:color="auto"/>
        <w:right w:val="none" w:sz="0" w:space="0" w:color="auto"/>
      </w:divBdr>
    </w:div>
    <w:div w:id="226648384">
      <w:bodyDiv w:val="1"/>
      <w:marLeft w:val="0"/>
      <w:marRight w:val="0"/>
      <w:marTop w:val="0"/>
      <w:marBottom w:val="0"/>
      <w:divBdr>
        <w:top w:val="none" w:sz="0" w:space="0" w:color="auto"/>
        <w:left w:val="none" w:sz="0" w:space="0" w:color="auto"/>
        <w:bottom w:val="none" w:sz="0" w:space="0" w:color="auto"/>
        <w:right w:val="none" w:sz="0" w:space="0" w:color="auto"/>
      </w:divBdr>
    </w:div>
    <w:div w:id="227345115">
      <w:bodyDiv w:val="1"/>
      <w:marLeft w:val="0"/>
      <w:marRight w:val="0"/>
      <w:marTop w:val="0"/>
      <w:marBottom w:val="0"/>
      <w:divBdr>
        <w:top w:val="none" w:sz="0" w:space="0" w:color="auto"/>
        <w:left w:val="none" w:sz="0" w:space="0" w:color="auto"/>
        <w:bottom w:val="none" w:sz="0" w:space="0" w:color="auto"/>
        <w:right w:val="none" w:sz="0" w:space="0" w:color="auto"/>
      </w:divBdr>
    </w:div>
    <w:div w:id="273025896">
      <w:bodyDiv w:val="1"/>
      <w:marLeft w:val="0"/>
      <w:marRight w:val="0"/>
      <w:marTop w:val="0"/>
      <w:marBottom w:val="0"/>
      <w:divBdr>
        <w:top w:val="none" w:sz="0" w:space="0" w:color="auto"/>
        <w:left w:val="none" w:sz="0" w:space="0" w:color="auto"/>
        <w:bottom w:val="none" w:sz="0" w:space="0" w:color="auto"/>
        <w:right w:val="none" w:sz="0" w:space="0" w:color="auto"/>
      </w:divBdr>
    </w:div>
    <w:div w:id="417948243">
      <w:bodyDiv w:val="1"/>
      <w:marLeft w:val="0"/>
      <w:marRight w:val="0"/>
      <w:marTop w:val="0"/>
      <w:marBottom w:val="0"/>
      <w:divBdr>
        <w:top w:val="none" w:sz="0" w:space="0" w:color="auto"/>
        <w:left w:val="none" w:sz="0" w:space="0" w:color="auto"/>
        <w:bottom w:val="none" w:sz="0" w:space="0" w:color="auto"/>
        <w:right w:val="none" w:sz="0" w:space="0" w:color="auto"/>
      </w:divBdr>
    </w:div>
    <w:div w:id="426121070">
      <w:bodyDiv w:val="1"/>
      <w:marLeft w:val="0"/>
      <w:marRight w:val="0"/>
      <w:marTop w:val="0"/>
      <w:marBottom w:val="0"/>
      <w:divBdr>
        <w:top w:val="none" w:sz="0" w:space="0" w:color="auto"/>
        <w:left w:val="none" w:sz="0" w:space="0" w:color="auto"/>
        <w:bottom w:val="none" w:sz="0" w:space="0" w:color="auto"/>
        <w:right w:val="none" w:sz="0" w:space="0" w:color="auto"/>
      </w:divBdr>
    </w:div>
    <w:div w:id="480344867">
      <w:bodyDiv w:val="1"/>
      <w:marLeft w:val="0"/>
      <w:marRight w:val="0"/>
      <w:marTop w:val="0"/>
      <w:marBottom w:val="0"/>
      <w:divBdr>
        <w:top w:val="none" w:sz="0" w:space="0" w:color="auto"/>
        <w:left w:val="none" w:sz="0" w:space="0" w:color="auto"/>
        <w:bottom w:val="none" w:sz="0" w:space="0" w:color="auto"/>
        <w:right w:val="none" w:sz="0" w:space="0" w:color="auto"/>
      </w:divBdr>
    </w:div>
    <w:div w:id="675037490">
      <w:bodyDiv w:val="1"/>
      <w:marLeft w:val="0"/>
      <w:marRight w:val="0"/>
      <w:marTop w:val="0"/>
      <w:marBottom w:val="0"/>
      <w:divBdr>
        <w:top w:val="none" w:sz="0" w:space="0" w:color="auto"/>
        <w:left w:val="none" w:sz="0" w:space="0" w:color="auto"/>
        <w:bottom w:val="none" w:sz="0" w:space="0" w:color="auto"/>
        <w:right w:val="none" w:sz="0" w:space="0" w:color="auto"/>
      </w:divBdr>
    </w:div>
    <w:div w:id="739792907">
      <w:bodyDiv w:val="1"/>
      <w:marLeft w:val="0"/>
      <w:marRight w:val="0"/>
      <w:marTop w:val="0"/>
      <w:marBottom w:val="0"/>
      <w:divBdr>
        <w:top w:val="none" w:sz="0" w:space="0" w:color="auto"/>
        <w:left w:val="none" w:sz="0" w:space="0" w:color="auto"/>
        <w:bottom w:val="none" w:sz="0" w:space="0" w:color="auto"/>
        <w:right w:val="none" w:sz="0" w:space="0" w:color="auto"/>
      </w:divBdr>
    </w:div>
    <w:div w:id="741948518">
      <w:bodyDiv w:val="1"/>
      <w:marLeft w:val="0"/>
      <w:marRight w:val="0"/>
      <w:marTop w:val="0"/>
      <w:marBottom w:val="0"/>
      <w:divBdr>
        <w:top w:val="none" w:sz="0" w:space="0" w:color="auto"/>
        <w:left w:val="none" w:sz="0" w:space="0" w:color="auto"/>
        <w:bottom w:val="none" w:sz="0" w:space="0" w:color="auto"/>
        <w:right w:val="none" w:sz="0" w:space="0" w:color="auto"/>
      </w:divBdr>
    </w:div>
    <w:div w:id="774058826">
      <w:bodyDiv w:val="1"/>
      <w:marLeft w:val="0"/>
      <w:marRight w:val="0"/>
      <w:marTop w:val="0"/>
      <w:marBottom w:val="0"/>
      <w:divBdr>
        <w:top w:val="none" w:sz="0" w:space="0" w:color="auto"/>
        <w:left w:val="none" w:sz="0" w:space="0" w:color="auto"/>
        <w:bottom w:val="none" w:sz="0" w:space="0" w:color="auto"/>
        <w:right w:val="none" w:sz="0" w:space="0" w:color="auto"/>
      </w:divBdr>
    </w:div>
    <w:div w:id="842279849">
      <w:bodyDiv w:val="1"/>
      <w:marLeft w:val="0"/>
      <w:marRight w:val="0"/>
      <w:marTop w:val="0"/>
      <w:marBottom w:val="0"/>
      <w:divBdr>
        <w:top w:val="none" w:sz="0" w:space="0" w:color="auto"/>
        <w:left w:val="none" w:sz="0" w:space="0" w:color="auto"/>
        <w:bottom w:val="none" w:sz="0" w:space="0" w:color="auto"/>
        <w:right w:val="none" w:sz="0" w:space="0" w:color="auto"/>
      </w:divBdr>
    </w:div>
    <w:div w:id="887644729">
      <w:bodyDiv w:val="1"/>
      <w:marLeft w:val="0"/>
      <w:marRight w:val="0"/>
      <w:marTop w:val="0"/>
      <w:marBottom w:val="0"/>
      <w:divBdr>
        <w:top w:val="none" w:sz="0" w:space="0" w:color="auto"/>
        <w:left w:val="none" w:sz="0" w:space="0" w:color="auto"/>
        <w:bottom w:val="none" w:sz="0" w:space="0" w:color="auto"/>
        <w:right w:val="none" w:sz="0" w:space="0" w:color="auto"/>
      </w:divBdr>
    </w:div>
    <w:div w:id="893932551">
      <w:bodyDiv w:val="1"/>
      <w:marLeft w:val="0"/>
      <w:marRight w:val="0"/>
      <w:marTop w:val="0"/>
      <w:marBottom w:val="0"/>
      <w:divBdr>
        <w:top w:val="none" w:sz="0" w:space="0" w:color="auto"/>
        <w:left w:val="none" w:sz="0" w:space="0" w:color="auto"/>
        <w:bottom w:val="none" w:sz="0" w:space="0" w:color="auto"/>
        <w:right w:val="none" w:sz="0" w:space="0" w:color="auto"/>
      </w:divBdr>
    </w:div>
    <w:div w:id="921328325">
      <w:bodyDiv w:val="1"/>
      <w:marLeft w:val="0"/>
      <w:marRight w:val="0"/>
      <w:marTop w:val="0"/>
      <w:marBottom w:val="0"/>
      <w:divBdr>
        <w:top w:val="none" w:sz="0" w:space="0" w:color="auto"/>
        <w:left w:val="none" w:sz="0" w:space="0" w:color="auto"/>
        <w:bottom w:val="none" w:sz="0" w:space="0" w:color="auto"/>
        <w:right w:val="none" w:sz="0" w:space="0" w:color="auto"/>
      </w:divBdr>
    </w:div>
    <w:div w:id="953365897">
      <w:bodyDiv w:val="1"/>
      <w:marLeft w:val="0"/>
      <w:marRight w:val="0"/>
      <w:marTop w:val="0"/>
      <w:marBottom w:val="0"/>
      <w:divBdr>
        <w:top w:val="none" w:sz="0" w:space="0" w:color="auto"/>
        <w:left w:val="none" w:sz="0" w:space="0" w:color="auto"/>
        <w:bottom w:val="none" w:sz="0" w:space="0" w:color="auto"/>
        <w:right w:val="none" w:sz="0" w:space="0" w:color="auto"/>
      </w:divBdr>
    </w:div>
    <w:div w:id="954364457">
      <w:bodyDiv w:val="1"/>
      <w:marLeft w:val="0"/>
      <w:marRight w:val="0"/>
      <w:marTop w:val="0"/>
      <w:marBottom w:val="0"/>
      <w:divBdr>
        <w:top w:val="none" w:sz="0" w:space="0" w:color="auto"/>
        <w:left w:val="none" w:sz="0" w:space="0" w:color="auto"/>
        <w:bottom w:val="none" w:sz="0" w:space="0" w:color="auto"/>
        <w:right w:val="none" w:sz="0" w:space="0" w:color="auto"/>
      </w:divBdr>
    </w:div>
    <w:div w:id="998924296">
      <w:bodyDiv w:val="1"/>
      <w:marLeft w:val="0"/>
      <w:marRight w:val="0"/>
      <w:marTop w:val="0"/>
      <w:marBottom w:val="0"/>
      <w:divBdr>
        <w:top w:val="none" w:sz="0" w:space="0" w:color="auto"/>
        <w:left w:val="none" w:sz="0" w:space="0" w:color="auto"/>
        <w:bottom w:val="none" w:sz="0" w:space="0" w:color="auto"/>
        <w:right w:val="none" w:sz="0" w:space="0" w:color="auto"/>
      </w:divBdr>
    </w:div>
    <w:div w:id="1030303411">
      <w:bodyDiv w:val="1"/>
      <w:marLeft w:val="0"/>
      <w:marRight w:val="0"/>
      <w:marTop w:val="0"/>
      <w:marBottom w:val="0"/>
      <w:divBdr>
        <w:top w:val="none" w:sz="0" w:space="0" w:color="auto"/>
        <w:left w:val="none" w:sz="0" w:space="0" w:color="auto"/>
        <w:bottom w:val="none" w:sz="0" w:space="0" w:color="auto"/>
        <w:right w:val="none" w:sz="0" w:space="0" w:color="auto"/>
      </w:divBdr>
    </w:div>
    <w:div w:id="1066682923">
      <w:bodyDiv w:val="1"/>
      <w:marLeft w:val="0"/>
      <w:marRight w:val="0"/>
      <w:marTop w:val="0"/>
      <w:marBottom w:val="0"/>
      <w:divBdr>
        <w:top w:val="none" w:sz="0" w:space="0" w:color="auto"/>
        <w:left w:val="none" w:sz="0" w:space="0" w:color="auto"/>
        <w:bottom w:val="none" w:sz="0" w:space="0" w:color="auto"/>
        <w:right w:val="none" w:sz="0" w:space="0" w:color="auto"/>
      </w:divBdr>
    </w:div>
    <w:div w:id="1072046099">
      <w:bodyDiv w:val="1"/>
      <w:marLeft w:val="0"/>
      <w:marRight w:val="0"/>
      <w:marTop w:val="0"/>
      <w:marBottom w:val="0"/>
      <w:divBdr>
        <w:top w:val="none" w:sz="0" w:space="0" w:color="auto"/>
        <w:left w:val="none" w:sz="0" w:space="0" w:color="auto"/>
        <w:bottom w:val="none" w:sz="0" w:space="0" w:color="auto"/>
        <w:right w:val="none" w:sz="0" w:space="0" w:color="auto"/>
      </w:divBdr>
    </w:div>
    <w:div w:id="1085029733">
      <w:bodyDiv w:val="1"/>
      <w:marLeft w:val="0"/>
      <w:marRight w:val="0"/>
      <w:marTop w:val="0"/>
      <w:marBottom w:val="0"/>
      <w:divBdr>
        <w:top w:val="none" w:sz="0" w:space="0" w:color="auto"/>
        <w:left w:val="none" w:sz="0" w:space="0" w:color="auto"/>
        <w:bottom w:val="none" w:sz="0" w:space="0" w:color="auto"/>
        <w:right w:val="none" w:sz="0" w:space="0" w:color="auto"/>
      </w:divBdr>
    </w:div>
    <w:div w:id="1265383549">
      <w:bodyDiv w:val="1"/>
      <w:marLeft w:val="0"/>
      <w:marRight w:val="0"/>
      <w:marTop w:val="0"/>
      <w:marBottom w:val="0"/>
      <w:divBdr>
        <w:top w:val="none" w:sz="0" w:space="0" w:color="auto"/>
        <w:left w:val="none" w:sz="0" w:space="0" w:color="auto"/>
        <w:bottom w:val="none" w:sz="0" w:space="0" w:color="auto"/>
        <w:right w:val="none" w:sz="0" w:space="0" w:color="auto"/>
      </w:divBdr>
    </w:div>
    <w:div w:id="1284269423">
      <w:bodyDiv w:val="1"/>
      <w:marLeft w:val="0"/>
      <w:marRight w:val="0"/>
      <w:marTop w:val="0"/>
      <w:marBottom w:val="0"/>
      <w:divBdr>
        <w:top w:val="none" w:sz="0" w:space="0" w:color="auto"/>
        <w:left w:val="none" w:sz="0" w:space="0" w:color="auto"/>
        <w:bottom w:val="none" w:sz="0" w:space="0" w:color="auto"/>
        <w:right w:val="none" w:sz="0" w:space="0" w:color="auto"/>
      </w:divBdr>
    </w:div>
    <w:div w:id="1335765565">
      <w:bodyDiv w:val="1"/>
      <w:marLeft w:val="0"/>
      <w:marRight w:val="0"/>
      <w:marTop w:val="0"/>
      <w:marBottom w:val="0"/>
      <w:divBdr>
        <w:top w:val="none" w:sz="0" w:space="0" w:color="auto"/>
        <w:left w:val="none" w:sz="0" w:space="0" w:color="auto"/>
        <w:bottom w:val="none" w:sz="0" w:space="0" w:color="auto"/>
        <w:right w:val="none" w:sz="0" w:space="0" w:color="auto"/>
      </w:divBdr>
    </w:div>
    <w:div w:id="1389067548">
      <w:bodyDiv w:val="1"/>
      <w:marLeft w:val="0"/>
      <w:marRight w:val="0"/>
      <w:marTop w:val="0"/>
      <w:marBottom w:val="0"/>
      <w:divBdr>
        <w:top w:val="none" w:sz="0" w:space="0" w:color="auto"/>
        <w:left w:val="none" w:sz="0" w:space="0" w:color="auto"/>
        <w:bottom w:val="none" w:sz="0" w:space="0" w:color="auto"/>
        <w:right w:val="none" w:sz="0" w:space="0" w:color="auto"/>
      </w:divBdr>
    </w:div>
    <w:div w:id="1413117740">
      <w:bodyDiv w:val="1"/>
      <w:marLeft w:val="0"/>
      <w:marRight w:val="0"/>
      <w:marTop w:val="0"/>
      <w:marBottom w:val="0"/>
      <w:divBdr>
        <w:top w:val="none" w:sz="0" w:space="0" w:color="auto"/>
        <w:left w:val="none" w:sz="0" w:space="0" w:color="auto"/>
        <w:bottom w:val="none" w:sz="0" w:space="0" w:color="auto"/>
        <w:right w:val="none" w:sz="0" w:space="0" w:color="auto"/>
      </w:divBdr>
    </w:div>
    <w:div w:id="1414737852">
      <w:bodyDiv w:val="1"/>
      <w:marLeft w:val="0"/>
      <w:marRight w:val="0"/>
      <w:marTop w:val="0"/>
      <w:marBottom w:val="0"/>
      <w:divBdr>
        <w:top w:val="none" w:sz="0" w:space="0" w:color="auto"/>
        <w:left w:val="none" w:sz="0" w:space="0" w:color="auto"/>
        <w:bottom w:val="none" w:sz="0" w:space="0" w:color="auto"/>
        <w:right w:val="none" w:sz="0" w:space="0" w:color="auto"/>
      </w:divBdr>
    </w:div>
    <w:div w:id="1419013330">
      <w:bodyDiv w:val="1"/>
      <w:marLeft w:val="0"/>
      <w:marRight w:val="0"/>
      <w:marTop w:val="0"/>
      <w:marBottom w:val="0"/>
      <w:divBdr>
        <w:top w:val="none" w:sz="0" w:space="0" w:color="auto"/>
        <w:left w:val="none" w:sz="0" w:space="0" w:color="auto"/>
        <w:bottom w:val="none" w:sz="0" w:space="0" w:color="auto"/>
        <w:right w:val="none" w:sz="0" w:space="0" w:color="auto"/>
      </w:divBdr>
    </w:div>
    <w:div w:id="1436945204">
      <w:bodyDiv w:val="1"/>
      <w:marLeft w:val="0"/>
      <w:marRight w:val="0"/>
      <w:marTop w:val="0"/>
      <w:marBottom w:val="0"/>
      <w:divBdr>
        <w:top w:val="none" w:sz="0" w:space="0" w:color="auto"/>
        <w:left w:val="none" w:sz="0" w:space="0" w:color="auto"/>
        <w:bottom w:val="none" w:sz="0" w:space="0" w:color="auto"/>
        <w:right w:val="none" w:sz="0" w:space="0" w:color="auto"/>
      </w:divBdr>
    </w:div>
    <w:div w:id="1532188098">
      <w:bodyDiv w:val="1"/>
      <w:marLeft w:val="0"/>
      <w:marRight w:val="0"/>
      <w:marTop w:val="0"/>
      <w:marBottom w:val="0"/>
      <w:divBdr>
        <w:top w:val="none" w:sz="0" w:space="0" w:color="auto"/>
        <w:left w:val="none" w:sz="0" w:space="0" w:color="auto"/>
        <w:bottom w:val="none" w:sz="0" w:space="0" w:color="auto"/>
        <w:right w:val="none" w:sz="0" w:space="0" w:color="auto"/>
      </w:divBdr>
    </w:div>
    <w:div w:id="1539003555">
      <w:bodyDiv w:val="1"/>
      <w:marLeft w:val="0"/>
      <w:marRight w:val="0"/>
      <w:marTop w:val="0"/>
      <w:marBottom w:val="0"/>
      <w:divBdr>
        <w:top w:val="none" w:sz="0" w:space="0" w:color="auto"/>
        <w:left w:val="none" w:sz="0" w:space="0" w:color="auto"/>
        <w:bottom w:val="none" w:sz="0" w:space="0" w:color="auto"/>
        <w:right w:val="none" w:sz="0" w:space="0" w:color="auto"/>
      </w:divBdr>
    </w:div>
    <w:div w:id="1575360114">
      <w:bodyDiv w:val="1"/>
      <w:marLeft w:val="0"/>
      <w:marRight w:val="0"/>
      <w:marTop w:val="0"/>
      <w:marBottom w:val="0"/>
      <w:divBdr>
        <w:top w:val="none" w:sz="0" w:space="0" w:color="auto"/>
        <w:left w:val="none" w:sz="0" w:space="0" w:color="auto"/>
        <w:bottom w:val="none" w:sz="0" w:space="0" w:color="auto"/>
        <w:right w:val="none" w:sz="0" w:space="0" w:color="auto"/>
      </w:divBdr>
    </w:div>
    <w:div w:id="1610774568">
      <w:bodyDiv w:val="1"/>
      <w:marLeft w:val="0"/>
      <w:marRight w:val="0"/>
      <w:marTop w:val="0"/>
      <w:marBottom w:val="0"/>
      <w:divBdr>
        <w:top w:val="none" w:sz="0" w:space="0" w:color="auto"/>
        <w:left w:val="none" w:sz="0" w:space="0" w:color="auto"/>
        <w:bottom w:val="none" w:sz="0" w:space="0" w:color="auto"/>
        <w:right w:val="none" w:sz="0" w:space="0" w:color="auto"/>
      </w:divBdr>
    </w:div>
    <w:div w:id="1639216784">
      <w:bodyDiv w:val="1"/>
      <w:marLeft w:val="0"/>
      <w:marRight w:val="0"/>
      <w:marTop w:val="0"/>
      <w:marBottom w:val="0"/>
      <w:divBdr>
        <w:top w:val="none" w:sz="0" w:space="0" w:color="auto"/>
        <w:left w:val="none" w:sz="0" w:space="0" w:color="auto"/>
        <w:bottom w:val="none" w:sz="0" w:space="0" w:color="auto"/>
        <w:right w:val="none" w:sz="0" w:space="0" w:color="auto"/>
      </w:divBdr>
    </w:div>
    <w:div w:id="1666517769">
      <w:bodyDiv w:val="1"/>
      <w:marLeft w:val="0"/>
      <w:marRight w:val="0"/>
      <w:marTop w:val="0"/>
      <w:marBottom w:val="0"/>
      <w:divBdr>
        <w:top w:val="none" w:sz="0" w:space="0" w:color="auto"/>
        <w:left w:val="none" w:sz="0" w:space="0" w:color="auto"/>
        <w:bottom w:val="none" w:sz="0" w:space="0" w:color="auto"/>
        <w:right w:val="none" w:sz="0" w:space="0" w:color="auto"/>
      </w:divBdr>
    </w:div>
    <w:div w:id="1713724152">
      <w:bodyDiv w:val="1"/>
      <w:marLeft w:val="0"/>
      <w:marRight w:val="0"/>
      <w:marTop w:val="0"/>
      <w:marBottom w:val="0"/>
      <w:divBdr>
        <w:top w:val="none" w:sz="0" w:space="0" w:color="auto"/>
        <w:left w:val="none" w:sz="0" w:space="0" w:color="auto"/>
        <w:bottom w:val="none" w:sz="0" w:space="0" w:color="auto"/>
        <w:right w:val="none" w:sz="0" w:space="0" w:color="auto"/>
      </w:divBdr>
    </w:div>
    <w:div w:id="1747216696">
      <w:bodyDiv w:val="1"/>
      <w:marLeft w:val="0"/>
      <w:marRight w:val="0"/>
      <w:marTop w:val="0"/>
      <w:marBottom w:val="0"/>
      <w:divBdr>
        <w:top w:val="none" w:sz="0" w:space="0" w:color="auto"/>
        <w:left w:val="none" w:sz="0" w:space="0" w:color="auto"/>
        <w:bottom w:val="none" w:sz="0" w:space="0" w:color="auto"/>
        <w:right w:val="none" w:sz="0" w:space="0" w:color="auto"/>
      </w:divBdr>
    </w:div>
    <w:div w:id="1774470483">
      <w:bodyDiv w:val="1"/>
      <w:marLeft w:val="0"/>
      <w:marRight w:val="0"/>
      <w:marTop w:val="0"/>
      <w:marBottom w:val="0"/>
      <w:divBdr>
        <w:top w:val="none" w:sz="0" w:space="0" w:color="auto"/>
        <w:left w:val="none" w:sz="0" w:space="0" w:color="auto"/>
        <w:bottom w:val="none" w:sz="0" w:space="0" w:color="auto"/>
        <w:right w:val="none" w:sz="0" w:space="0" w:color="auto"/>
      </w:divBdr>
    </w:div>
    <w:div w:id="1796753883">
      <w:bodyDiv w:val="1"/>
      <w:marLeft w:val="0"/>
      <w:marRight w:val="0"/>
      <w:marTop w:val="0"/>
      <w:marBottom w:val="0"/>
      <w:divBdr>
        <w:top w:val="none" w:sz="0" w:space="0" w:color="auto"/>
        <w:left w:val="none" w:sz="0" w:space="0" w:color="auto"/>
        <w:bottom w:val="none" w:sz="0" w:space="0" w:color="auto"/>
        <w:right w:val="none" w:sz="0" w:space="0" w:color="auto"/>
      </w:divBdr>
    </w:div>
    <w:div w:id="1802188099">
      <w:bodyDiv w:val="1"/>
      <w:marLeft w:val="0"/>
      <w:marRight w:val="0"/>
      <w:marTop w:val="0"/>
      <w:marBottom w:val="0"/>
      <w:divBdr>
        <w:top w:val="none" w:sz="0" w:space="0" w:color="auto"/>
        <w:left w:val="none" w:sz="0" w:space="0" w:color="auto"/>
        <w:bottom w:val="none" w:sz="0" w:space="0" w:color="auto"/>
        <w:right w:val="none" w:sz="0" w:space="0" w:color="auto"/>
      </w:divBdr>
      <w:divsChild>
        <w:div w:id="351222260">
          <w:marLeft w:val="0"/>
          <w:marRight w:val="0"/>
          <w:marTop w:val="0"/>
          <w:marBottom w:val="0"/>
          <w:divBdr>
            <w:top w:val="none" w:sz="0" w:space="0" w:color="auto"/>
            <w:left w:val="none" w:sz="0" w:space="0" w:color="auto"/>
            <w:bottom w:val="none" w:sz="0" w:space="0" w:color="auto"/>
            <w:right w:val="none" w:sz="0" w:space="0" w:color="auto"/>
          </w:divBdr>
          <w:divsChild>
            <w:div w:id="61148331">
              <w:marLeft w:val="0"/>
              <w:marRight w:val="0"/>
              <w:marTop w:val="0"/>
              <w:marBottom w:val="0"/>
              <w:divBdr>
                <w:top w:val="none" w:sz="0" w:space="0" w:color="auto"/>
                <w:left w:val="none" w:sz="0" w:space="0" w:color="auto"/>
                <w:bottom w:val="none" w:sz="0" w:space="0" w:color="auto"/>
                <w:right w:val="none" w:sz="0" w:space="0" w:color="auto"/>
              </w:divBdr>
              <w:divsChild>
                <w:div w:id="16042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425">
      <w:bodyDiv w:val="1"/>
      <w:marLeft w:val="0"/>
      <w:marRight w:val="0"/>
      <w:marTop w:val="0"/>
      <w:marBottom w:val="0"/>
      <w:divBdr>
        <w:top w:val="none" w:sz="0" w:space="0" w:color="auto"/>
        <w:left w:val="none" w:sz="0" w:space="0" w:color="auto"/>
        <w:bottom w:val="none" w:sz="0" w:space="0" w:color="auto"/>
        <w:right w:val="none" w:sz="0" w:space="0" w:color="auto"/>
      </w:divBdr>
    </w:div>
    <w:div w:id="1944341408">
      <w:bodyDiv w:val="1"/>
      <w:marLeft w:val="0"/>
      <w:marRight w:val="0"/>
      <w:marTop w:val="0"/>
      <w:marBottom w:val="0"/>
      <w:divBdr>
        <w:top w:val="none" w:sz="0" w:space="0" w:color="auto"/>
        <w:left w:val="none" w:sz="0" w:space="0" w:color="auto"/>
        <w:bottom w:val="none" w:sz="0" w:space="0" w:color="auto"/>
        <w:right w:val="none" w:sz="0" w:space="0" w:color="auto"/>
      </w:divBdr>
    </w:div>
    <w:div w:id="2009600684">
      <w:bodyDiv w:val="1"/>
      <w:marLeft w:val="0"/>
      <w:marRight w:val="0"/>
      <w:marTop w:val="0"/>
      <w:marBottom w:val="0"/>
      <w:divBdr>
        <w:top w:val="none" w:sz="0" w:space="0" w:color="auto"/>
        <w:left w:val="none" w:sz="0" w:space="0" w:color="auto"/>
        <w:bottom w:val="none" w:sz="0" w:space="0" w:color="auto"/>
        <w:right w:val="none" w:sz="0" w:space="0" w:color="auto"/>
      </w:divBdr>
    </w:div>
    <w:div w:id="2050373222">
      <w:bodyDiv w:val="1"/>
      <w:marLeft w:val="0"/>
      <w:marRight w:val="0"/>
      <w:marTop w:val="0"/>
      <w:marBottom w:val="0"/>
      <w:divBdr>
        <w:top w:val="none" w:sz="0" w:space="0" w:color="auto"/>
        <w:left w:val="none" w:sz="0" w:space="0" w:color="auto"/>
        <w:bottom w:val="none" w:sz="0" w:space="0" w:color="auto"/>
        <w:right w:val="none" w:sz="0" w:space="0" w:color="auto"/>
      </w:divBdr>
    </w:div>
    <w:div w:id="20704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fm.dk/oekonomi-og-tal/budgetlov-og-udgiftslofter"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kl.dk/Okonomi-og-administration/Okonomi-og-dokumentation/Kommunal-okonomi-a-z/Serviceudgifter/"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1" Type="http://schemas.openxmlformats.org/officeDocument/2006/relationships/oleObject" Target="file:///\\cepos-dc01\Analyse\Tobias\Kommunal%20budgetoverskridelse\Figurer\Alle%20Figur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pos-dc01\Analyse\Tobias\Kommunal%20budgetoverskridelse\Figurer\Alle%20Figure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849150381553868E-2"/>
          <c:y val="0.16128706133955475"/>
          <c:w val="0.88825770423982642"/>
          <c:h val="0.8086468358121901"/>
        </c:manualLayout>
      </c:layout>
      <c:barChart>
        <c:barDir val="col"/>
        <c:grouping val="clustered"/>
        <c:varyColors val="0"/>
        <c:ser>
          <c:idx val="0"/>
          <c:order val="0"/>
          <c:spPr>
            <a:solidFill>
              <a:srgbClr val="003865"/>
            </a:solidFill>
          </c:spPr>
          <c:invertIfNegative val="0"/>
          <c:dPt>
            <c:idx val="98"/>
            <c:invertIfNegative val="0"/>
            <c:bubble3D val="0"/>
            <c:spPr>
              <a:solidFill>
                <a:schemeClr val="accent2"/>
              </a:solidFill>
            </c:spPr>
            <c:extLst>
              <c:ext xmlns:c16="http://schemas.microsoft.com/office/drawing/2014/chart" uri="{C3380CC4-5D6E-409C-BE32-E72D297353CC}">
                <c16:uniqueId val="{00000001-EF42-4603-93EB-D7985AD86B17}"/>
              </c:ext>
            </c:extLst>
          </c:dPt>
          <c:val>
            <c:numRef>
              <c:f>'Figur 1 alle'!$C$2:$C$100</c:f>
              <c:numCache>
                <c:formatCode>General</c:formatCode>
                <c:ptCount val="99"/>
                <c:pt idx="0">
                  <c:v>-14.860880845189616</c:v>
                </c:pt>
                <c:pt idx="1">
                  <c:v>-6.7994171524422331</c:v>
                </c:pt>
                <c:pt idx="2">
                  <c:v>-6.2496150680559692</c:v>
                </c:pt>
                <c:pt idx="3">
                  <c:v>-4.7517460593605847</c:v>
                </c:pt>
                <c:pt idx="4">
                  <c:v>-3.9271780028685699</c:v>
                </c:pt>
                <c:pt idx="5">
                  <c:v>-3.8943125324917949</c:v>
                </c:pt>
                <c:pt idx="6">
                  <c:v>-3.8696829262356403</c:v>
                </c:pt>
                <c:pt idx="7">
                  <c:v>-3.7167997501154737</c:v>
                </c:pt>
                <c:pt idx="8">
                  <c:v>-3.5947495719759748</c:v>
                </c:pt>
                <c:pt idx="9">
                  <c:v>-3.3446780438620483</c:v>
                </c:pt>
                <c:pt idx="10">
                  <c:v>-3.2808565924465793</c:v>
                </c:pt>
                <c:pt idx="11">
                  <c:v>-3.2039996724782194</c:v>
                </c:pt>
                <c:pt idx="12">
                  <c:v>-3.1584188191813745</c:v>
                </c:pt>
                <c:pt idx="13">
                  <c:v>-3.0883906298031061</c:v>
                </c:pt>
                <c:pt idx="14">
                  <c:v>-3.0449202855599378</c:v>
                </c:pt>
                <c:pt idx="15">
                  <c:v>-3.0003843520339468</c:v>
                </c:pt>
                <c:pt idx="16">
                  <c:v>-2.9061094441050206</c:v>
                </c:pt>
                <c:pt idx="17">
                  <c:v>-2.8551882346880331</c:v>
                </c:pt>
                <c:pt idx="18">
                  <c:v>-2.7384525556472528</c:v>
                </c:pt>
                <c:pt idx="19">
                  <c:v>-2.6813892669148132</c:v>
                </c:pt>
                <c:pt idx="20">
                  <c:v>-2.4552456416404467</c:v>
                </c:pt>
                <c:pt idx="21">
                  <c:v>-2.3863127249136529</c:v>
                </c:pt>
                <c:pt idx="22">
                  <c:v>-2.296095922365049</c:v>
                </c:pt>
                <c:pt idx="23">
                  <c:v>-2.2858127605981715</c:v>
                </c:pt>
                <c:pt idx="24">
                  <c:v>-2.2328370883422211</c:v>
                </c:pt>
                <c:pt idx="25">
                  <c:v>-2.2263945734900648</c:v>
                </c:pt>
                <c:pt idx="26">
                  <c:v>-2.1472728421402909</c:v>
                </c:pt>
                <c:pt idx="27">
                  <c:v>-2.0599235869330546</c:v>
                </c:pt>
                <c:pt idx="28">
                  <c:v>-1.9938260298031474</c:v>
                </c:pt>
                <c:pt idx="29">
                  <c:v>-1.9806489987690967</c:v>
                </c:pt>
                <c:pt idx="30">
                  <c:v>-1.9439391528274452</c:v>
                </c:pt>
                <c:pt idx="31">
                  <c:v>-1.8584992759113073</c:v>
                </c:pt>
                <c:pt idx="32">
                  <c:v>-1.8417978633347709</c:v>
                </c:pt>
                <c:pt idx="33">
                  <c:v>-1.8254714930234672</c:v>
                </c:pt>
                <c:pt idx="34">
                  <c:v>-1.7629172123778902</c:v>
                </c:pt>
                <c:pt idx="35">
                  <c:v>-1.7394056658847745</c:v>
                </c:pt>
                <c:pt idx="36">
                  <c:v>-1.6533463864076614</c:v>
                </c:pt>
                <c:pt idx="37">
                  <c:v>-1.611164289159106</c:v>
                </c:pt>
                <c:pt idx="38">
                  <c:v>-1.5303303670033408</c:v>
                </c:pt>
                <c:pt idx="39">
                  <c:v>-1.52660978897734</c:v>
                </c:pt>
                <c:pt idx="40">
                  <c:v>-1.5190645165709893</c:v>
                </c:pt>
                <c:pt idx="41">
                  <c:v>-1.5149998140080778</c:v>
                </c:pt>
                <c:pt idx="42">
                  <c:v>-1.4850853401030872</c:v>
                </c:pt>
                <c:pt idx="43">
                  <c:v>-1.3688420994277029</c:v>
                </c:pt>
                <c:pt idx="44">
                  <c:v>-1.2490723181180163</c:v>
                </c:pt>
                <c:pt idx="45">
                  <c:v>-1.2178959292698077</c:v>
                </c:pt>
                <c:pt idx="46">
                  <c:v>-1.1827300628813098</c:v>
                </c:pt>
                <c:pt idx="47">
                  <c:v>-1.1655088463171426</c:v>
                </c:pt>
                <c:pt idx="48">
                  <c:v>-1.1548556113251007</c:v>
                </c:pt>
                <c:pt idx="49">
                  <c:v>-0.96165723063825759</c:v>
                </c:pt>
                <c:pt idx="50">
                  <c:v>-0.89986482458808137</c:v>
                </c:pt>
                <c:pt idx="51">
                  <c:v>-0.89434829828981544</c:v>
                </c:pt>
                <c:pt idx="52">
                  <c:v>-0.87685960139284314</c:v>
                </c:pt>
                <c:pt idx="53">
                  <c:v>-0.81407156466797304</c:v>
                </c:pt>
                <c:pt idx="54">
                  <c:v>-0.78250871910821029</c:v>
                </c:pt>
                <c:pt idx="55">
                  <c:v>-0.74431077116069444</c:v>
                </c:pt>
                <c:pt idx="56">
                  <c:v>-0.71510719949638979</c:v>
                </c:pt>
                <c:pt idx="57">
                  <c:v>-0.68185362390802418</c:v>
                </c:pt>
                <c:pt idx="58">
                  <c:v>-0.6517517770752157</c:v>
                </c:pt>
                <c:pt idx="59">
                  <c:v>-0.6187908727087521</c:v>
                </c:pt>
                <c:pt idx="60">
                  <c:v>-0.61488152500281945</c:v>
                </c:pt>
                <c:pt idx="61">
                  <c:v>-0.60764755518053493</c:v>
                </c:pt>
                <c:pt idx="62">
                  <c:v>-0.60458514279116971</c:v>
                </c:pt>
                <c:pt idx="63">
                  <c:v>-0.58309094434748632</c:v>
                </c:pt>
                <c:pt idx="64">
                  <c:v>-0.53830611072305246</c:v>
                </c:pt>
                <c:pt idx="65">
                  <c:v>-0.40447324414715213</c:v>
                </c:pt>
                <c:pt idx="66">
                  <c:v>-0.27985450942902279</c:v>
                </c:pt>
                <c:pt idx="67">
                  <c:v>-0.21995942456765061</c:v>
                </c:pt>
                <c:pt idx="68">
                  <c:v>-0.20002939147996113</c:v>
                </c:pt>
                <c:pt idx="69">
                  <c:v>-0.16270943286961215</c:v>
                </c:pt>
                <c:pt idx="70">
                  <c:v>-0.14970562353378014</c:v>
                </c:pt>
                <c:pt idx="71">
                  <c:v>-0.13430456948529956</c:v>
                </c:pt>
                <c:pt idx="72">
                  <c:v>-0.10265594028541214</c:v>
                </c:pt>
                <c:pt idx="73">
                  <c:v>-9.782807595399845E-2</c:v>
                </c:pt>
                <c:pt idx="74">
                  <c:v>-6.446218036655349E-2</c:v>
                </c:pt>
                <c:pt idx="75">
                  <c:v>-2.7816682583647889E-2</c:v>
                </c:pt>
                <c:pt idx="76">
                  <c:v>-1.9356529054181948E-2</c:v>
                </c:pt>
                <c:pt idx="77">
                  <c:v>0.12307596253089415</c:v>
                </c:pt>
                <c:pt idx="78">
                  <c:v>0.12800891395778891</c:v>
                </c:pt>
                <c:pt idx="79">
                  <c:v>0.15500269295054547</c:v>
                </c:pt>
                <c:pt idx="80">
                  <c:v>0.17408088039669867</c:v>
                </c:pt>
                <c:pt idx="81">
                  <c:v>0.19432994531347614</c:v>
                </c:pt>
                <c:pt idx="82">
                  <c:v>0.22945264713745139</c:v>
                </c:pt>
                <c:pt idx="83">
                  <c:v>0.39123847865827344</c:v>
                </c:pt>
                <c:pt idx="84">
                  <c:v>0.51764543700028032</c:v>
                </c:pt>
                <c:pt idx="85">
                  <c:v>0.57047510771144339</c:v>
                </c:pt>
                <c:pt idx="86">
                  <c:v>0.6064876388025997</c:v>
                </c:pt>
                <c:pt idx="87">
                  <c:v>0.95458436480577724</c:v>
                </c:pt>
                <c:pt idx="88">
                  <c:v>1.0906785973586519</c:v>
                </c:pt>
                <c:pt idx="89">
                  <c:v>1.1768355713317025</c:v>
                </c:pt>
                <c:pt idx="90">
                  <c:v>1.2172057967730909</c:v>
                </c:pt>
                <c:pt idx="91">
                  <c:v>1.9718829536863769</c:v>
                </c:pt>
                <c:pt idx="92">
                  <c:v>2.0177165161872068</c:v>
                </c:pt>
                <c:pt idx="93">
                  <c:v>2.6045707666948914</c:v>
                </c:pt>
                <c:pt idx="94">
                  <c:v>2.7169021008375038</c:v>
                </c:pt>
                <c:pt idx="95">
                  <c:v>3.3390671238306302</c:v>
                </c:pt>
                <c:pt idx="96">
                  <c:v>3.996947857031663</c:v>
                </c:pt>
                <c:pt idx="97">
                  <c:v>5.0988961455735504</c:v>
                </c:pt>
                <c:pt idx="98">
                  <c:v>-1.3808754866938222</c:v>
                </c:pt>
              </c:numCache>
            </c:numRef>
          </c:val>
          <c:extLst>
            <c:ext xmlns:c16="http://schemas.microsoft.com/office/drawing/2014/chart" uri="{C3380CC4-5D6E-409C-BE32-E72D297353CC}">
              <c16:uniqueId val="{00000002-EF42-4603-93EB-D7985AD86B17}"/>
            </c:ext>
          </c:extLst>
        </c:ser>
        <c:dLbls>
          <c:showLegendKey val="0"/>
          <c:showVal val="0"/>
          <c:showCatName val="0"/>
          <c:showSerName val="0"/>
          <c:showPercent val="0"/>
          <c:showBubbleSize val="0"/>
        </c:dLbls>
        <c:gapWidth val="150"/>
        <c:axId val="277269888"/>
        <c:axId val="299036672"/>
      </c:barChart>
      <c:catAx>
        <c:axId val="277269888"/>
        <c:scaling>
          <c:orientation val="minMax"/>
        </c:scaling>
        <c:delete val="1"/>
        <c:axPos val="b"/>
        <c:majorTickMark val="out"/>
        <c:minorTickMark val="none"/>
        <c:tickLblPos val="nextTo"/>
        <c:crossAx val="299036672"/>
        <c:crosses val="autoZero"/>
        <c:auto val="1"/>
        <c:lblAlgn val="ctr"/>
        <c:lblOffset val="100"/>
        <c:noMultiLvlLbl val="0"/>
      </c:catAx>
      <c:valAx>
        <c:axId val="299036672"/>
        <c:scaling>
          <c:orientation val="minMax"/>
          <c:min val="-15"/>
        </c:scaling>
        <c:delete val="0"/>
        <c:axPos val="l"/>
        <c:majorGridlines/>
        <c:title>
          <c:tx>
            <c:rich>
              <a:bodyPr rot="0" vert="horz"/>
              <a:lstStyle/>
              <a:p>
                <a:pPr>
                  <a:defRPr/>
                </a:pPr>
                <a:r>
                  <a:rPr lang="da-DK"/>
                  <a:t>Pct.-vis overskridelse</a:t>
                </a:r>
              </a:p>
            </c:rich>
          </c:tx>
          <c:layout>
            <c:manualLayout>
              <c:xMode val="edge"/>
              <c:yMode val="edge"/>
              <c:x val="0"/>
              <c:y val="3.1362258806939387E-2"/>
            </c:manualLayout>
          </c:layout>
          <c:overlay val="0"/>
        </c:title>
        <c:numFmt formatCode="General" sourceLinked="1"/>
        <c:majorTickMark val="out"/>
        <c:minorTickMark val="none"/>
        <c:tickLblPos val="nextTo"/>
        <c:crossAx val="277269888"/>
        <c:crosses val="autoZero"/>
        <c:crossBetween val="between"/>
      </c:valAx>
    </c:plotArea>
    <c:plotVisOnly val="1"/>
    <c:dispBlanksAs val="gap"/>
    <c:showDLblsOverMax val="0"/>
  </c:chart>
  <c:spPr>
    <a:ln>
      <a:noFill/>
    </a:ln>
  </c:spPr>
  <c:txPr>
    <a:bodyPr/>
    <a:lstStyle/>
    <a:p>
      <a:pPr>
        <a:defRPr>
          <a:latin typeface="Lato" panose="020F0502020204030203" pitchFamily="34" charset="0"/>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9231287723274E-2"/>
          <c:y val="0.12848629794131436"/>
          <c:w val="0.92064007563256922"/>
          <c:h val="0.78242648402552117"/>
        </c:manualLayout>
      </c:layout>
      <c:barChart>
        <c:barDir val="col"/>
        <c:grouping val="clustered"/>
        <c:varyColors val="0"/>
        <c:ser>
          <c:idx val="0"/>
          <c:order val="0"/>
          <c:spPr>
            <a:solidFill>
              <a:srgbClr val="003865"/>
            </a:solidFill>
          </c:spPr>
          <c:invertIfNegative val="0"/>
          <c:dPt>
            <c:idx val="98"/>
            <c:invertIfNegative val="0"/>
            <c:bubble3D val="0"/>
            <c:spPr>
              <a:solidFill>
                <a:srgbClr val="C00000"/>
              </a:solidFill>
            </c:spPr>
            <c:extLst>
              <c:ext xmlns:c16="http://schemas.microsoft.com/office/drawing/2014/chart" uri="{C3380CC4-5D6E-409C-BE32-E72D297353CC}">
                <c16:uniqueId val="{00000001-4E12-49AC-BA35-D84DEC2989DA}"/>
              </c:ext>
            </c:extLst>
          </c:dPt>
          <c:val>
            <c:numRef>
              <c:f>'Figur 2'!$C$2:$C$100</c:f>
              <c:numCache>
                <c:formatCode>General</c:formatCode>
                <c:ptCount val="99"/>
                <c:pt idx="0">
                  <c:v>-14.674741501221323</c:v>
                </c:pt>
                <c:pt idx="1">
                  <c:v>-7.3171466078934326</c:v>
                </c:pt>
                <c:pt idx="2">
                  <c:v>-3.3838606340892086</c:v>
                </c:pt>
                <c:pt idx="3">
                  <c:v>-2.9854137578063544</c:v>
                </c:pt>
                <c:pt idx="4">
                  <c:v>-2.7134374698225217</c:v>
                </c:pt>
                <c:pt idx="5">
                  <c:v>-2.4608247106009173</c:v>
                </c:pt>
                <c:pt idx="6">
                  <c:v>-2.427098843126152</c:v>
                </c:pt>
                <c:pt idx="7">
                  <c:v>-2.334547785594987</c:v>
                </c:pt>
                <c:pt idx="8">
                  <c:v>-2.3027526031081491</c:v>
                </c:pt>
                <c:pt idx="9">
                  <c:v>-2.2869194004785154</c:v>
                </c:pt>
                <c:pt idx="10">
                  <c:v>-2.1565986338979881</c:v>
                </c:pt>
                <c:pt idx="11">
                  <c:v>-1.9120081365421093</c:v>
                </c:pt>
                <c:pt idx="12">
                  <c:v>-1.8141379976620131</c:v>
                </c:pt>
                <c:pt idx="13">
                  <c:v>-1.7708850727440328</c:v>
                </c:pt>
                <c:pt idx="14">
                  <c:v>-1.7425769903832156</c:v>
                </c:pt>
                <c:pt idx="15">
                  <c:v>-1.7382077433621856</c:v>
                </c:pt>
                <c:pt idx="16">
                  <c:v>-1.7095717449833514</c:v>
                </c:pt>
                <c:pt idx="17">
                  <c:v>-1.660107383975451</c:v>
                </c:pt>
                <c:pt idx="18">
                  <c:v>-1.6497021411648438</c:v>
                </c:pt>
                <c:pt idx="19">
                  <c:v>-1.6342528995634487</c:v>
                </c:pt>
                <c:pt idx="20">
                  <c:v>-1.5671854555821985</c:v>
                </c:pt>
                <c:pt idx="21">
                  <c:v>-1.5668089385235784</c:v>
                </c:pt>
                <c:pt idx="22">
                  <c:v>-1.5088922823418782</c:v>
                </c:pt>
                <c:pt idx="23">
                  <c:v>-1.4176883872757062</c:v>
                </c:pt>
                <c:pt idx="24">
                  <c:v>-1.326703205555646</c:v>
                </c:pt>
                <c:pt idx="25">
                  <c:v>-1.1662730902022078</c:v>
                </c:pt>
                <c:pt idx="26">
                  <c:v>-1.1446432411490681</c:v>
                </c:pt>
                <c:pt idx="27">
                  <c:v>-1.0387098847360221</c:v>
                </c:pt>
                <c:pt idx="28">
                  <c:v>-1.0339171429772365</c:v>
                </c:pt>
                <c:pt idx="29">
                  <c:v>-0.98323449672608199</c:v>
                </c:pt>
                <c:pt idx="30">
                  <c:v>-0.91660395206818457</c:v>
                </c:pt>
                <c:pt idx="31">
                  <c:v>-0.83152310891607684</c:v>
                </c:pt>
                <c:pt idx="32">
                  <c:v>-0.76279178531923897</c:v>
                </c:pt>
                <c:pt idx="33">
                  <c:v>-0.74750813977716435</c:v>
                </c:pt>
                <c:pt idx="34">
                  <c:v>-0.74506952540051019</c:v>
                </c:pt>
                <c:pt idx="35">
                  <c:v>-0.71389315527007335</c:v>
                </c:pt>
                <c:pt idx="36">
                  <c:v>-0.70014076829026939</c:v>
                </c:pt>
                <c:pt idx="37">
                  <c:v>-0.62749170144014155</c:v>
                </c:pt>
                <c:pt idx="38">
                  <c:v>-0.6049611227842977</c:v>
                </c:pt>
                <c:pt idx="39">
                  <c:v>-0.56074543654998088</c:v>
                </c:pt>
                <c:pt idx="40">
                  <c:v>-0.51133248276007404</c:v>
                </c:pt>
                <c:pt idx="41">
                  <c:v>-0.50833768631773912</c:v>
                </c:pt>
                <c:pt idx="42">
                  <c:v>-0.48688798397392707</c:v>
                </c:pt>
                <c:pt idx="43">
                  <c:v>-0.36594904817776053</c:v>
                </c:pt>
                <c:pt idx="44">
                  <c:v>-0.36265220400425457</c:v>
                </c:pt>
                <c:pt idx="45">
                  <c:v>-0.30286170624839182</c:v>
                </c:pt>
                <c:pt idx="46">
                  <c:v>-0.27746976570781623</c:v>
                </c:pt>
                <c:pt idx="47">
                  <c:v>-0.18718316778693067</c:v>
                </c:pt>
                <c:pt idx="48">
                  <c:v>-0.18064980270616759</c:v>
                </c:pt>
                <c:pt idx="49">
                  <c:v>-0.14920045607027532</c:v>
                </c:pt>
                <c:pt idx="50">
                  <c:v>-0.14917248559762619</c:v>
                </c:pt>
                <c:pt idx="51">
                  <c:v>-0.10026731100741815</c:v>
                </c:pt>
                <c:pt idx="52">
                  <c:v>-6.9943614013712185E-2</c:v>
                </c:pt>
                <c:pt idx="53">
                  <c:v>-6.5856079117654343E-2</c:v>
                </c:pt>
                <c:pt idx="54">
                  <c:v>-6.0846581971207847E-2</c:v>
                </c:pt>
                <c:pt idx="55">
                  <c:v>-4.7892454216036384E-2</c:v>
                </c:pt>
                <c:pt idx="56">
                  <c:v>-2.9856111516068928E-2</c:v>
                </c:pt>
                <c:pt idx="57">
                  <c:v>-1.9578321012336808E-2</c:v>
                </c:pt>
                <c:pt idx="58">
                  <c:v>5.7594365625579513E-3</c:v>
                </c:pt>
                <c:pt idx="59">
                  <c:v>1.9112491853445768E-2</c:v>
                </c:pt>
                <c:pt idx="60">
                  <c:v>2.7015140301389629E-2</c:v>
                </c:pt>
                <c:pt idx="61">
                  <c:v>0.1175479890221709</c:v>
                </c:pt>
                <c:pt idx="62">
                  <c:v>0.13165882809014207</c:v>
                </c:pt>
                <c:pt idx="63">
                  <c:v>0.14575908532006299</c:v>
                </c:pt>
                <c:pt idx="64">
                  <c:v>0.29241833098327952</c:v>
                </c:pt>
                <c:pt idx="65">
                  <c:v>0.33560444579781024</c:v>
                </c:pt>
                <c:pt idx="66">
                  <c:v>0.36129448373465323</c:v>
                </c:pt>
                <c:pt idx="67">
                  <c:v>0.3740375322282441</c:v>
                </c:pt>
                <c:pt idx="68">
                  <c:v>0.387022304706508</c:v>
                </c:pt>
                <c:pt idx="69">
                  <c:v>0.40823299047001438</c:v>
                </c:pt>
                <c:pt idx="70">
                  <c:v>0.4142215008115846</c:v>
                </c:pt>
                <c:pt idx="71">
                  <c:v>0.41477862959224954</c:v>
                </c:pt>
                <c:pt idx="72">
                  <c:v>0.45976653615731333</c:v>
                </c:pt>
                <c:pt idx="73">
                  <c:v>0.52842451564512061</c:v>
                </c:pt>
                <c:pt idx="74">
                  <c:v>0.52993330201409616</c:v>
                </c:pt>
                <c:pt idx="75">
                  <c:v>0.55367667215575622</c:v>
                </c:pt>
                <c:pt idx="76">
                  <c:v>0.57423191893948289</c:v>
                </c:pt>
                <c:pt idx="77">
                  <c:v>0.59045970452442642</c:v>
                </c:pt>
                <c:pt idx="78">
                  <c:v>0.75631890028577953</c:v>
                </c:pt>
                <c:pt idx="79">
                  <c:v>0.86402093377042632</c:v>
                </c:pt>
                <c:pt idx="80">
                  <c:v>0.89038662492675336</c:v>
                </c:pt>
                <c:pt idx="81">
                  <c:v>0.95110597925689433</c:v>
                </c:pt>
                <c:pt idx="82">
                  <c:v>1.0218459316077233</c:v>
                </c:pt>
                <c:pt idx="83">
                  <c:v>1.0247536840777061</c:v>
                </c:pt>
                <c:pt idx="84">
                  <c:v>1.1282685696838657</c:v>
                </c:pt>
                <c:pt idx="85">
                  <c:v>1.1649593549666326</c:v>
                </c:pt>
                <c:pt idx="86">
                  <c:v>1.2475441253996244</c:v>
                </c:pt>
                <c:pt idx="87">
                  <c:v>1.4074387284017442</c:v>
                </c:pt>
                <c:pt idx="88">
                  <c:v>1.4267705797940344</c:v>
                </c:pt>
                <c:pt idx="89">
                  <c:v>1.4413049335856964</c:v>
                </c:pt>
                <c:pt idx="90">
                  <c:v>1.5059492576300793</c:v>
                </c:pt>
                <c:pt idx="91">
                  <c:v>1.514537335486521</c:v>
                </c:pt>
                <c:pt idx="92">
                  <c:v>1.6110517325874429</c:v>
                </c:pt>
                <c:pt idx="93">
                  <c:v>2.0814793117405861</c:v>
                </c:pt>
                <c:pt idx="94">
                  <c:v>2.8270037864406516</c:v>
                </c:pt>
                <c:pt idx="95">
                  <c:v>3.419165576590566</c:v>
                </c:pt>
                <c:pt idx="96">
                  <c:v>3.5023132848645</c:v>
                </c:pt>
                <c:pt idx="97">
                  <c:v>6.805506576283582</c:v>
                </c:pt>
                <c:pt idx="98">
                  <c:v>-0.54578884780929204</c:v>
                </c:pt>
              </c:numCache>
            </c:numRef>
          </c:val>
          <c:extLst>
            <c:ext xmlns:c16="http://schemas.microsoft.com/office/drawing/2014/chart" uri="{C3380CC4-5D6E-409C-BE32-E72D297353CC}">
              <c16:uniqueId val="{00000002-4E12-49AC-BA35-D84DEC2989DA}"/>
            </c:ext>
          </c:extLst>
        </c:ser>
        <c:dLbls>
          <c:showLegendKey val="0"/>
          <c:showVal val="0"/>
          <c:showCatName val="0"/>
          <c:showSerName val="0"/>
          <c:showPercent val="0"/>
          <c:showBubbleSize val="0"/>
        </c:dLbls>
        <c:gapWidth val="150"/>
        <c:axId val="230834176"/>
        <c:axId val="230835712"/>
      </c:barChart>
      <c:catAx>
        <c:axId val="230834176"/>
        <c:scaling>
          <c:orientation val="minMax"/>
        </c:scaling>
        <c:delete val="1"/>
        <c:axPos val="b"/>
        <c:majorTickMark val="out"/>
        <c:minorTickMark val="none"/>
        <c:tickLblPos val="nextTo"/>
        <c:crossAx val="230835712"/>
        <c:crosses val="autoZero"/>
        <c:auto val="1"/>
        <c:lblAlgn val="ctr"/>
        <c:lblOffset val="100"/>
        <c:noMultiLvlLbl val="0"/>
      </c:catAx>
      <c:valAx>
        <c:axId val="230835712"/>
        <c:scaling>
          <c:orientation val="minMax"/>
          <c:max val="10"/>
          <c:min val="-15"/>
        </c:scaling>
        <c:delete val="0"/>
        <c:axPos val="l"/>
        <c:majorGridlines/>
        <c:title>
          <c:tx>
            <c:rich>
              <a:bodyPr rot="0" vert="horz"/>
              <a:lstStyle/>
              <a:p>
                <a:pPr>
                  <a:defRPr/>
                </a:pPr>
                <a:r>
                  <a:rPr lang="da-DK"/>
                  <a:t>Pct. overskridelse</a:t>
                </a:r>
              </a:p>
            </c:rich>
          </c:tx>
          <c:layout>
            <c:manualLayout>
              <c:xMode val="edge"/>
              <c:yMode val="edge"/>
              <c:x val="1.465903324824544E-2"/>
              <c:y val="3.6491414859721745E-2"/>
            </c:manualLayout>
          </c:layout>
          <c:overlay val="0"/>
        </c:title>
        <c:numFmt formatCode="General" sourceLinked="1"/>
        <c:majorTickMark val="out"/>
        <c:minorTickMark val="none"/>
        <c:tickLblPos val="nextTo"/>
        <c:crossAx val="230834176"/>
        <c:crosses val="autoZero"/>
        <c:crossBetween val="between"/>
      </c:valAx>
    </c:plotArea>
    <c:plotVisOnly val="1"/>
    <c:dispBlanksAs val="gap"/>
    <c:showDLblsOverMax val="0"/>
  </c:chart>
  <c:spPr>
    <a:ln>
      <a:noFill/>
    </a:ln>
  </c:spPr>
  <c:txPr>
    <a:bodyPr/>
    <a:lstStyle/>
    <a:p>
      <a:pPr>
        <a:defRPr>
          <a:latin typeface="Lato" panose="020F0502020204030203" pitchFamily="34" charset="0"/>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600126310213825E-2"/>
          <c:y val="0.12893564085739284"/>
          <c:w val="0.87689456832126256"/>
          <c:h val="0.75092738407699033"/>
        </c:manualLayout>
      </c:layout>
      <c:scatterChart>
        <c:scatterStyle val="lineMarker"/>
        <c:varyColors val="0"/>
        <c:ser>
          <c:idx val="0"/>
          <c:order val="0"/>
          <c:tx>
            <c:strRef>
              <c:f>'[Figurer V2.xlsx]Serviceniveau, overskr. 2017'!$D$1</c:f>
              <c:strCache>
                <c:ptCount val="1"/>
              </c:strCache>
            </c:strRef>
          </c:tx>
          <c:spPr>
            <a:ln w="19050" cap="rnd">
              <a:noFill/>
              <a:round/>
            </a:ln>
            <a:effectLst/>
          </c:spPr>
          <c:marker>
            <c:symbol val="circle"/>
            <c:size val="5"/>
            <c:spPr>
              <a:solidFill>
                <a:srgbClr val="004565"/>
              </a:solidFill>
              <a:ln w="9525">
                <a:solidFill>
                  <a:srgbClr val="003865"/>
                </a:solidFill>
              </a:ln>
              <a:effectLst/>
            </c:spPr>
          </c:marker>
          <c:xVal>
            <c:numRef>
              <c:f>'[Figurer V2.xlsx]Serviceniveau, overskr. 2017'!$C$3:$C$100</c:f>
              <c:numCache>
                <c:formatCode>General</c:formatCode>
                <c:ptCount val="98"/>
                <c:pt idx="0">
                  <c:v>1.08</c:v>
                </c:pt>
                <c:pt idx="1">
                  <c:v>1.03</c:v>
                </c:pt>
                <c:pt idx="2">
                  <c:v>1.04</c:v>
                </c:pt>
                <c:pt idx="3">
                  <c:v>1.08</c:v>
                </c:pt>
                <c:pt idx="4">
                  <c:v>1.03</c:v>
                </c:pt>
                <c:pt idx="5">
                  <c:v>1.06</c:v>
                </c:pt>
                <c:pt idx="6">
                  <c:v>0.97</c:v>
                </c:pt>
                <c:pt idx="7">
                  <c:v>1.07</c:v>
                </c:pt>
                <c:pt idx="8">
                  <c:v>1.02</c:v>
                </c:pt>
                <c:pt idx="9">
                  <c:v>1.02</c:v>
                </c:pt>
                <c:pt idx="10">
                  <c:v>1.01</c:v>
                </c:pt>
                <c:pt idx="11">
                  <c:v>1.05</c:v>
                </c:pt>
                <c:pt idx="12">
                  <c:v>0.97</c:v>
                </c:pt>
                <c:pt idx="13">
                  <c:v>1.01</c:v>
                </c:pt>
                <c:pt idx="14" formatCode="0.00">
                  <c:v>1.02</c:v>
                </c:pt>
                <c:pt idx="15">
                  <c:v>1.02</c:v>
                </c:pt>
                <c:pt idx="16">
                  <c:v>0.92</c:v>
                </c:pt>
                <c:pt idx="17">
                  <c:v>1.04</c:v>
                </c:pt>
                <c:pt idx="18">
                  <c:v>1.05</c:v>
                </c:pt>
                <c:pt idx="19">
                  <c:v>1.02</c:v>
                </c:pt>
                <c:pt idx="20">
                  <c:v>1.03</c:v>
                </c:pt>
                <c:pt idx="21">
                  <c:v>0.95</c:v>
                </c:pt>
                <c:pt idx="22">
                  <c:v>0.96</c:v>
                </c:pt>
                <c:pt idx="23">
                  <c:v>1.02</c:v>
                </c:pt>
                <c:pt idx="24">
                  <c:v>0.96</c:v>
                </c:pt>
                <c:pt idx="25">
                  <c:v>1.03</c:v>
                </c:pt>
                <c:pt idx="26">
                  <c:v>1.02</c:v>
                </c:pt>
                <c:pt idx="27">
                  <c:v>1.01</c:v>
                </c:pt>
                <c:pt idx="28">
                  <c:v>1.06</c:v>
                </c:pt>
                <c:pt idx="29">
                  <c:v>0.99</c:v>
                </c:pt>
                <c:pt idx="30">
                  <c:v>1.04</c:v>
                </c:pt>
                <c:pt idx="31">
                  <c:v>1.01</c:v>
                </c:pt>
                <c:pt idx="32">
                  <c:v>1</c:v>
                </c:pt>
                <c:pt idx="33">
                  <c:v>1.03</c:v>
                </c:pt>
                <c:pt idx="34">
                  <c:v>1.04</c:v>
                </c:pt>
                <c:pt idx="35">
                  <c:v>0.96</c:v>
                </c:pt>
                <c:pt idx="36">
                  <c:v>1</c:v>
                </c:pt>
                <c:pt idx="37">
                  <c:v>0.98</c:v>
                </c:pt>
                <c:pt idx="38">
                  <c:v>1.06</c:v>
                </c:pt>
                <c:pt idx="39">
                  <c:v>1.02</c:v>
                </c:pt>
                <c:pt idx="40">
                  <c:v>0.97</c:v>
                </c:pt>
                <c:pt idx="41">
                  <c:v>1.03</c:v>
                </c:pt>
                <c:pt idx="42">
                  <c:v>0.98</c:v>
                </c:pt>
                <c:pt idx="43">
                  <c:v>1.05</c:v>
                </c:pt>
                <c:pt idx="44">
                  <c:v>1</c:v>
                </c:pt>
                <c:pt idx="45">
                  <c:v>1.07</c:v>
                </c:pt>
                <c:pt idx="46">
                  <c:v>1.01</c:v>
                </c:pt>
                <c:pt idx="47">
                  <c:v>0.94</c:v>
                </c:pt>
                <c:pt idx="48">
                  <c:v>1</c:v>
                </c:pt>
                <c:pt idx="49">
                  <c:v>1.08</c:v>
                </c:pt>
                <c:pt idx="50">
                  <c:v>1.02</c:v>
                </c:pt>
                <c:pt idx="51">
                  <c:v>0.97</c:v>
                </c:pt>
                <c:pt idx="52">
                  <c:v>1.06</c:v>
                </c:pt>
                <c:pt idx="53">
                  <c:v>1.02</c:v>
                </c:pt>
                <c:pt idx="54">
                  <c:v>1.07</c:v>
                </c:pt>
                <c:pt idx="55">
                  <c:v>1.03</c:v>
                </c:pt>
                <c:pt idx="56">
                  <c:v>0.99</c:v>
                </c:pt>
                <c:pt idx="57">
                  <c:v>1.05</c:v>
                </c:pt>
                <c:pt idx="58">
                  <c:v>1.04</c:v>
                </c:pt>
                <c:pt idx="59">
                  <c:v>1.01</c:v>
                </c:pt>
                <c:pt idx="60">
                  <c:v>1.04</c:v>
                </c:pt>
                <c:pt idx="61">
                  <c:v>0.97</c:v>
                </c:pt>
                <c:pt idx="62">
                  <c:v>1.01</c:v>
                </c:pt>
                <c:pt idx="63">
                  <c:v>0.98</c:v>
                </c:pt>
                <c:pt idx="64">
                  <c:v>1.07</c:v>
                </c:pt>
                <c:pt idx="65">
                  <c:v>1.02</c:v>
                </c:pt>
                <c:pt idx="66">
                  <c:v>1.03</c:v>
                </c:pt>
                <c:pt idx="67">
                  <c:v>1.02</c:v>
                </c:pt>
                <c:pt idx="68">
                  <c:v>1.01</c:v>
                </c:pt>
                <c:pt idx="69">
                  <c:v>1.04</c:v>
                </c:pt>
                <c:pt idx="70">
                  <c:v>1</c:v>
                </c:pt>
                <c:pt idx="71">
                  <c:v>1.05</c:v>
                </c:pt>
                <c:pt idx="72">
                  <c:v>0.92</c:v>
                </c:pt>
                <c:pt idx="73">
                  <c:v>0.99</c:v>
                </c:pt>
                <c:pt idx="74">
                  <c:v>1.03</c:v>
                </c:pt>
                <c:pt idx="75">
                  <c:v>1.01</c:v>
                </c:pt>
                <c:pt idx="76">
                  <c:v>1.01</c:v>
                </c:pt>
                <c:pt idx="77">
                  <c:v>0.99</c:v>
                </c:pt>
                <c:pt idx="78">
                  <c:v>1.01</c:v>
                </c:pt>
                <c:pt idx="79">
                  <c:v>1</c:v>
                </c:pt>
                <c:pt idx="80">
                  <c:v>0.98</c:v>
                </c:pt>
                <c:pt idx="81">
                  <c:v>1.05</c:v>
                </c:pt>
                <c:pt idx="82">
                  <c:v>1.03</c:v>
                </c:pt>
                <c:pt idx="83">
                  <c:v>1.01</c:v>
                </c:pt>
                <c:pt idx="84">
                  <c:v>1.01</c:v>
                </c:pt>
                <c:pt idx="85">
                  <c:v>1</c:v>
                </c:pt>
                <c:pt idx="86">
                  <c:v>0.95</c:v>
                </c:pt>
                <c:pt idx="87">
                  <c:v>0.99</c:v>
                </c:pt>
                <c:pt idx="88">
                  <c:v>1</c:v>
                </c:pt>
                <c:pt idx="89">
                  <c:v>0.98</c:v>
                </c:pt>
                <c:pt idx="90">
                  <c:v>0.92</c:v>
                </c:pt>
                <c:pt idx="91">
                  <c:v>1.01</c:v>
                </c:pt>
                <c:pt idx="92">
                  <c:v>1</c:v>
                </c:pt>
                <c:pt idx="93">
                  <c:v>0.99</c:v>
                </c:pt>
                <c:pt idx="94">
                  <c:v>0.94</c:v>
                </c:pt>
                <c:pt idx="95">
                  <c:v>1</c:v>
                </c:pt>
                <c:pt idx="96">
                  <c:v>1.03</c:v>
                </c:pt>
                <c:pt idx="97">
                  <c:v>0.97</c:v>
                </c:pt>
              </c:numCache>
            </c:numRef>
          </c:xVal>
          <c:yVal>
            <c:numRef>
              <c:f>'[Figurer V2.xlsx]Serviceniveau, overskr. 2017'!$D$3:$D$100</c:f>
              <c:numCache>
                <c:formatCode>General</c:formatCode>
                <c:ptCount val="98"/>
                <c:pt idx="0">
                  <c:v>0.52</c:v>
                </c:pt>
                <c:pt idx="1">
                  <c:v>-3.87</c:v>
                </c:pt>
                <c:pt idx="2">
                  <c:v>0.12</c:v>
                </c:pt>
                <c:pt idx="3">
                  <c:v>0.39</c:v>
                </c:pt>
                <c:pt idx="4">
                  <c:v>-0.96</c:v>
                </c:pt>
                <c:pt idx="5">
                  <c:v>-0.2</c:v>
                </c:pt>
                <c:pt idx="6">
                  <c:v>-3.59</c:v>
                </c:pt>
                <c:pt idx="7">
                  <c:v>-1.94</c:v>
                </c:pt>
                <c:pt idx="8">
                  <c:v>-0.81</c:v>
                </c:pt>
                <c:pt idx="9">
                  <c:v>-2.91</c:v>
                </c:pt>
                <c:pt idx="10">
                  <c:v>-2.06</c:v>
                </c:pt>
                <c:pt idx="11">
                  <c:v>5.0999999999999996</c:v>
                </c:pt>
                <c:pt idx="12">
                  <c:v>-3.89</c:v>
                </c:pt>
                <c:pt idx="13">
                  <c:v>-1.83</c:v>
                </c:pt>
                <c:pt idx="14">
                  <c:v>0.19</c:v>
                </c:pt>
                <c:pt idx="15">
                  <c:v>-0.9</c:v>
                </c:pt>
                <c:pt idx="16">
                  <c:v>-3.04</c:v>
                </c:pt>
                <c:pt idx="17">
                  <c:v>-0.1</c:v>
                </c:pt>
                <c:pt idx="18">
                  <c:v>-0.61</c:v>
                </c:pt>
                <c:pt idx="19">
                  <c:v>-1.84</c:v>
                </c:pt>
                <c:pt idx="20">
                  <c:v>-0.4</c:v>
                </c:pt>
                <c:pt idx="21">
                  <c:v>-3.93</c:v>
                </c:pt>
                <c:pt idx="22">
                  <c:v>-3.28</c:v>
                </c:pt>
                <c:pt idx="23">
                  <c:v>-1.53</c:v>
                </c:pt>
                <c:pt idx="24">
                  <c:v>2.6</c:v>
                </c:pt>
                <c:pt idx="25">
                  <c:v>-0.16</c:v>
                </c:pt>
                <c:pt idx="26">
                  <c:v>-0.06</c:v>
                </c:pt>
                <c:pt idx="27">
                  <c:v>-0.89</c:v>
                </c:pt>
                <c:pt idx="28">
                  <c:v>-0.57999999999999996</c:v>
                </c:pt>
                <c:pt idx="29">
                  <c:v>3.34</c:v>
                </c:pt>
                <c:pt idx="30">
                  <c:v>-1.61</c:v>
                </c:pt>
                <c:pt idx="31">
                  <c:v>1.97</c:v>
                </c:pt>
                <c:pt idx="32">
                  <c:v>0.23</c:v>
                </c:pt>
                <c:pt idx="33">
                  <c:v>-3.72</c:v>
                </c:pt>
                <c:pt idx="34">
                  <c:v>-1.25</c:v>
                </c:pt>
                <c:pt idx="35">
                  <c:v>-1.52</c:v>
                </c:pt>
                <c:pt idx="36">
                  <c:v>-0.02</c:v>
                </c:pt>
                <c:pt idx="37">
                  <c:v>-3.34</c:v>
                </c:pt>
                <c:pt idx="38">
                  <c:v>-0.6</c:v>
                </c:pt>
                <c:pt idx="39">
                  <c:v>-0.22</c:v>
                </c:pt>
                <c:pt idx="40">
                  <c:v>-2.2999999999999998</c:v>
                </c:pt>
                <c:pt idx="41">
                  <c:v>-3</c:v>
                </c:pt>
                <c:pt idx="42">
                  <c:v>-1.53</c:v>
                </c:pt>
                <c:pt idx="43">
                  <c:v>-1.76</c:v>
                </c:pt>
                <c:pt idx="44">
                  <c:v>-2.15</c:v>
                </c:pt>
                <c:pt idx="45">
                  <c:v>1.0900000000000001</c:v>
                </c:pt>
                <c:pt idx="46">
                  <c:v>0.13</c:v>
                </c:pt>
                <c:pt idx="47">
                  <c:v>-3.09</c:v>
                </c:pt>
                <c:pt idx="48">
                  <c:v>-2.23</c:v>
                </c:pt>
                <c:pt idx="49">
                  <c:v>-0.1</c:v>
                </c:pt>
                <c:pt idx="50">
                  <c:v>-0.78</c:v>
                </c:pt>
                <c:pt idx="51">
                  <c:v>-2.39</c:v>
                </c:pt>
                <c:pt idx="52">
                  <c:v>-1.1499999999999999</c:v>
                </c:pt>
                <c:pt idx="53">
                  <c:v>-1.86</c:v>
                </c:pt>
                <c:pt idx="54">
                  <c:v>-6.25</c:v>
                </c:pt>
                <c:pt idx="55">
                  <c:v>2.02</c:v>
                </c:pt>
                <c:pt idx="56">
                  <c:v>-1.18</c:v>
                </c:pt>
                <c:pt idx="57">
                  <c:v>-0.62</c:v>
                </c:pt>
                <c:pt idx="58">
                  <c:v>1.18</c:v>
                </c:pt>
                <c:pt idx="59">
                  <c:v>-1.99</c:v>
                </c:pt>
                <c:pt idx="60">
                  <c:v>-0.68</c:v>
                </c:pt>
                <c:pt idx="61">
                  <c:v>-3.16</c:v>
                </c:pt>
                <c:pt idx="62">
                  <c:v>-2.86</c:v>
                </c:pt>
                <c:pt idx="63">
                  <c:v>-3.2</c:v>
                </c:pt>
                <c:pt idx="64">
                  <c:v>-1.37</c:v>
                </c:pt>
                <c:pt idx="65">
                  <c:v>-0.65</c:v>
                </c:pt>
                <c:pt idx="66">
                  <c:v>-0.03</c:v>
                </c:pt>
                <c:pt idx="67">
                  <c:v>-1.49</c:v>
                </c:pt>
                <c:pt idx="68">
                  <c:v>-1.98</c:v>
                </c:pt>
                <c:pt idx="69">
                  <c:v>-0.61</c:v>
                </c:pt>
                <c:pt idx="70">
                  <c:v>-0.28000000000000003</c:v>
                </c:pt>
                <c:pt idx="71">
                  <c:v>0.16</c:v>
                </c:pt>
                <c:pt idx="72">
                  <c:v>-14.86</c:v>
                </c:pt>
                <c:pt idx="73">
                  <c:v>0.95</c:v>
                </c:pt>
                <c:pt idx="74">
                  <c:v>-2.74</c:v>
                </c:pt>
                <c:pt idx="75">
                  <c:v>-0.74</c:v>
                </c:pt>
                <c:pt idx="76">
                  <c:v>-0.13</c:v>
                </c:pt>
                <c:pt idx="77">
                  <c:v>-6.8</c:v>
                </c:pt>
                <c:pt idx="78">
                  <c:v>0.17</c:v>
                </c:pt>
                <c:pt idx="79">
                  <c:v>-1.65</c:v>
                </c:pt>
                <c:pt idx="80">
                  <c:v>-4.75</c:v>
                </c:pt>
                <c:pt idx="81">
                  <c:v>1.22</c:v>
                </c:pt>
                <c:pt idx="82">
                  <c:v>-2.46</c:v>
                </c:pt>
                <c:pt idx="83">
                  <c:v>0.56999999999999995</c:v>
                </c:pt>
                <c:pt idx="84">
                  <c:v>0.61</c:v>
                </c:pt>
                <c:pt idx="85">
                  <c:v>-0.72</c:v>
                </c:pt>
                <c:pt idx="86">
                  <c:v>-0.54</c:v>
                </c:pt>
                <c:pt idx="87">
                  <c:v>2.72</c:v>
                </c:pt>
                <c:pt idx="88">
                  <c:v>-2.23</c:v>
                </c:pt>
                <c:pt idx="89">
                  <c:v>-2.29</c:v>
                </c:pt>
                <c:pt idx="90">
                  <c:v>-1.17</c:v>
                </c:pt>
                <c:pt idx="91">
                  <c:v>-1.74</c:v>
                </c:pt>
                <c:pt idx="92">
                  <c:v>-1.51</c:v>
                </c:pt>
                <c:pt idx="93">
                  <c:v>-0.88</c:v>
                </c:pt>
                <c:pt idx="94">
                  <c:v>4</c:v>
                </c:pt>
                <c:pt idx="95">
                  <c:v>-2.68</c:v>
                </c:pt>
                <c:pt idx="96">
                  <c:v>-0.15</c:v>
                </c:pt>
                <c:pt idx="97">
                  <c:v>-1.22</c:v>
                </c:pt>
              </c:numCache>
            </c:numRef>
          </c:yVal>
          <c:smooth val="0"/>
          <c:extLst>
            <c:ext xmlns:c16="http://schemas.microsoft.com/office/drawing/2014/chart" uri="{C3380CC4-5D6E-409C-BE32-E72D297353CC}">
              <c16:uniqueId val="{00000000-53AB-4B03-9986-CF928FE4AC92}"/>
            </c:ext>
          </c:extLst>
        </c:ser>
        <c:dLbls>
          <c:showLegendKey val="0"/>
          <c:showVal val="0"/>
          <c:showCatName val="0"/>
          <c:showSerName val="0"/>
          <c:showPercent val="0"/>
          <c:showBubbleSize val="0"/>
        </c:dLbls>
        <c:axId val="435082112"/>
        <c:axId val="435082440"/>
      </c:scatterChart>
      <c:valAx>
        <c:axId val="435082112"/>
        <c:scaling>
          <c:orientation val="minMax"/>
          <c:max val="1.085"/>
          <c:min val="0.9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Lato" panose="020F0502020204030203" pitchFamily="34" charset="0"/>
                    <a:ea typeface="+mn-ea"/>
                    <a:cs typeface="+mn-cs"/>
                  </a:defRPr>
                </a:pPr>
                <a:r>
                  <a:rPr lang="en-US"/>
                  <a:t>Serviceniveau, 2017</a:t>
                </a:r>
              </a:p>
            </c:rich>
          </c:tx>
          <c:layout>
            <c:manualLayout>
              <c:xMode val="edge"/>
              <c:yMode val="edge"/>
              <c:x val="0.75131274699313633"/>
              <c:y val="0.9414276141014287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Lato" panose="020F0502020204030203" pitchFamily="34" charset="0"/>
                  <a:ea typeface="+mn-ea"/>
                  <a:cs typeface="+mn-cs"/>
                </a:defRPr>
              </a:pPr>
              <a:endParaRPr lang="da-DK"/>
            </a:p>
          </c:txPr>
        </c:title>
        <c:numFmt formatCode="General" sourceLinked="1"/>
        <c:majorTickMark val="none"/>
        <c:minorTickMark val="none"/>
        <c:tickLblPos val="low"/>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pitchFamily="34" charset="0"/>
                <a:ea typeface="+mn-ea"/>
                <a:cs typeface="+mn-cs"/>
              </a:defRPr>
            </a:pPr>
            <a:endParaRPr lang="da-DK"/>
          </a:p>
        </c:txPr>
        <c:crossAx val="435082440"/>
        <c:crosses val="autoZero"/>
        <c:crossBetween val="midCat"/>
        <c:majorUnit val="3.0000000000000006E-2"/>
      </c:valAx>
      <c:valAx>
        <c:axId val="435082440"/>
        <c:scaling>
          <c:orientation val="minMax"/>
          <c:max val="6"/>
          <c:min val="-16"/>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ysClr val="windowText" lastClr="000000"/>
                    </a:solidFill>
                    <a:latin typeface="Lato" panose="020F0502020204030203" pitchFamily="34" charset="0"/>
                    <a:ea typeface="+mn-ea"/>
                    <a:cs typeface="+mn-cs"/>
                  </a:defRPr>
                </a:pPr>
                <a:r>
                  <a:rPr lang="en-US" b="1"/>
                  <a:t>Pct.</a:t>
                </a:r>
              </a:p>
              <a:p>
                <a:pPr>
                  <a:defRPr b="1"/>
                </a:pPr>
                <a:r>
                  <a:rPr lang="en-US" b="1"/>
                  <a:t> overskridelse, 2017</a:t>
                </a:r>
              </a:p>
            </c:rich>
          </c:tx>
          <c:layout>
            <c:manualLayout>
              <c:xMode val="edge"/>
              <c:yMode val="edge"/>
              <c:x val="1.406550084853851E-2"/>
              <c:y val="3.403668091658753E-3"/>
            </c:manualLayout>
          </c:layout>
          <c:overlay val="0"/>
          <c:spPr>
            <a:noFill/>
            <a:ln>
              <a:noFill/>
            </a:ln>
            <a:effectLst/>
          </c:spPr>
          <c:txPr>
            <a:bodyPr rot="0" spcFirstLastPara="1" vertOverflow="ellipsis" wrap="square" anchor="ctr" anchorCtr="1"/>
            <a:lstStyle/>
            <a:p>
              <a:pPr>
                <a:defRPr sz="1000" b="1" i="0" u="none" strike="noStrike" kern="1200" baseline="0">
                  <a:solidFill>
                    <a:sysClr val="windowText" lastClr="000000"/>
                  </a:solidFill>
                  <a:latin typeface="Lato" panose="020F0502020204030203" pitchFamily="34" charset="0"/>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pitchFamily="34" charset="0"/>
                <a:ea typeface="+mn-ea"/>
                <a:cs typeface="+mn-cs"/>
              </a:defRPr>
            </a:pPr>
            <a:endParaRPr lang="da-DK"/>
          </a:p>
        </c:txPr>
        <c:crossAx val="435082112"/>
        <c:crosses val="autoZero"/>
        <c:crossBetween val="midCat"/>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pitchFamily="34" charset="0"/>
        </a:defRPr>
      </a:pPr>
      <a:endParaRPr lang="da-DK"/>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61793898991371E-2"/>
          <c:y val="0.14607183851322203"/>
          <c:w val="0.89863822577733343"/>
          <c:h val="0.73514806649168851"/>
        </c:manualLayout>
      </c:layout>
      <c:scatterChart>
        <c:scatterStyle val="lineMarker"/>
        <c:varyColors val="0"/>
        <c:ser>
          <c:idx val="0"/>
          <c:order val="0"/>
          <c:spPr>
            <a:ln w="19050" cap="rnd">
              <a:noFill/>
              <a:round/>
            </a:ln>
            <a:effectLst/>
          </c:spPr>
          <c:marker>
            <c:symbol val="circle"/>
            <c:size val="5"/>
            <c:spPr>
              <a:solidFill>
                <a:srgbClr val="004565"/>
              </a:solidFill>
              <a:ln w="9525">
                <a:solidFill>
                  <a:srgbClr val="003865"/>
                </a:solidFill>
              </a:ln>
              <a:effectLst/>
            </c:spPr>
          </c:marker>
          <c:xVal>
            <c:numRef>
              <c:f>'[Figurer V2.xlsx]Overskridelser 2016,2017'!$B$5:$B$102</c:f>
              <c:numCache>
                <c:formatCode>General</c:formatCode>
                <c:ptCount val="98"/>
                <c:pt idx="0">
                  <c:v>0.59</c:v>
                </c:pt>
                <c:pt idx="1">
                  <c:v>-7.39</c:v>
                </c:pt>
                <c:pt idx="2">
                  <c:v>1.87</c:v>
                </c:pt>
                <c:pt idx="3">
                  <c:v>-3.18</c:v>
                </c:pt>
                <c:pt idx="4">
                  <c:v>-1.93</c:v>
                </c:pt>
                <c:pt idx="5">
                  <c:v>-4.79</c:v>
                </c:pt>
                <c:pt idx="6">
                  <c:v>-3.24</c:v>
                </c:pt>
                <c:pt idx="7">
                  <c:v>-1.34</c:v>
                </c:pt>
                <c:pt idx="8">
                  <c:v>-3.12</c:v>
                </c:pt>
                <c:pt idx="9">
                  <c:v>0.87</c:v>
                </c:pt>
                <c:pt idx="10">
                  <c:v>-1.62</c:v>
                </c:pt>
                <c:pt idx="11">
                  <c:v>-2.81</c:v>
                </c:pt>
                <c:pt idx="12">
                  <c:v>-2.5</c:v>
                </c:pt>
                <c:pt idx="13">
                  <c:v>-4.29</c:v>
                </c:pt>
                <c:pt idx="14">
                  <c:v>-2.0299999999999998</c:v>
                </c:pt>
                <c:pt idx="15">
                  <c:v>-3.42</c:v>
                </c:pt>
                <c:pt idx="16">
                  <c:v>-2.79</c:v>
                </c:pt>
                <c:pt idx="17">
                  <c:v>-0.57999999999999996</c:v>
                </c:pt>
                <c:pt idx="18">
                  <c:v>-0.87</c:v>
                </c:pt>
                <c:pt idx="19">
                  <c:v>-2.61</c:v>
                </c:pt>
                <c:pt idx="20">
                  <c:v>-1.85</c:v>
                </c:pt>
                <c:pt idx="21">
                  <c:v>-2.19</c:v>
                </c:pt>
                <c:pt idx="22">
                  <c:v>1.02</c:v>
                </c:pt>
                <c:pt idx="23">
                  <c:v>-3.82</c:v>
                </c:pt>
                <c:pt idx="24">
                  <c:v>-4.71</c:v>
                </c:pt>
                <c:pt idx="25">
                  <c:v>-0.32</c:v>
                </c:pt>
                <c:pt idx="26">
                  <c:v>-4.3499999999999996</c:v>
                </c:pt>
                <c:pt idx="27">
                  <c:v>-4.12</c:v>
                </c:pt>
                <c:pt idx="28">
                  <c:v>-0.64</c:v>
                </c:pt>
                <c:pt idx="29">
                  <c:v>-1.44</c:v>
                </c:pt>
                <c:pt idx="30">
                  <c:v>-2.54</c:v>
                </c:pt>
                <c:pt idx="31">
                  <c:v>-4.8099999999999996</c:v>
                </c:pt>
                <c:pt idx="32">
                  <c:v>0.81</c:v>
                </c:pt>
                <c:pt idx="33">
                  <c:v>-2.12</c:v>
                </c:pt>
                <c:pt idx="34">
                  <c:v>-1.1200000000000001</c:v>
                </c:pt>
                <c:pt idx="35">
                  <c:v>0.14000000000000001</c:v>
                </c:pt>
                <c:pt idx="36">
                  <c:v>-0.56000000000000005</c:v>
                </c:pt>
                <c:pt idx="37">
                  <c:v>-0.06</c:v>
                </c:pt>
                <c:pt idx="38">
                  <c:v>0.04</c:v>
                </c:pt>
                <c:pt idx="39">
                  <c:v>-3.43</c:v>
                </c:pt>
                <c:pt idx="40">
                  <c:v>4.2300000000000004</c:v>
                </c:pt>
                <c:pt idx="41">
                  <c:v>-2.57</c:v>
                </c:pt>
                <c:pt idx="42">
                  <c:v>-0.2</c:v>
                </c:pt>
                <c:pt idx="43">
                  <c:v>-1.57</c:v>
                </c:pt>
                <c:pt idx="44">
                  <c:v>-1.65</c:v>
                </c:pt>
                <c:pt idx="45">
                  <c:v>-2.0099999999999998</c:v>
                </c:pt>
                <c:pt idx="46">
                  <c:v>-0.48</c:v>
                </c:pt>
                <c:pt idx="47">
                  <c:v>-3.63</c:v>
                </c:pt>
                <c:pt idx="48">
                  <c:v>0.13</c:v>
                </c:pt>
                <c:pt idx="49">
                  <c:v>-4.07</c:v>
                </c:pt>
                <c:pt idx="50">
                  <c:v>-3.15</c:v>
                </c:pt>
                <c:pt idx="51">
                  <c:v>-2.4500000000000002</c:v>
                </c:pt>
                <c:pt idx="52">
                  <c:v>-0.65</c:v>
                </c:pt>
                <c:pt idx="53">
                  <c:v>13.95</c:v>
                </c:pt>
                <c:pt idx="54">
                  <c:v>-0.59</c:v>
                </c:pt>
                <c:pt idx="55">
                  <c:v>-2.92</c:v>
                </c:pt>
                <c:pt idx="56">
                  <c:v>-3.52</c:v>
                </c:pt>
                <c:pt idx="57">
                  <c:v>-6.54</c:v>
                </c:pt>
                <c:pt idx="58">
                  <c:v>-0.4</c:v>
                </c:pt>
                <c:pt idx="59">
                  <c:v>3.47</c:v>
                </c:pt>
                <c:pt idx="60">
                  <c:v>2.92</c:v>
                </c:pt>
                <c:pt idx="61">
                  <c:v>-0.67</c:v>
                </c:pt>
                <c:pt idx="62">
                  <c:v>-0.16</c:v>
                </c:pt>
                <c:pt idx="63">
                  <c:v>-1.04</c:v>
                </c:pt>
                <c:pt idx="64">
                  <c:v>-0.63</c:v>
                </c:pt>
                <c:pt idx="65">
                  <c:v>-1.75</c:v>
                </c:pt>
                <c:pt idx="66">
                  <c:v>-0.76</c:v>
                </c:pt>
                <c:pt idx="67">
                  <c:v>0.63</c:v>
                </c:pt>
                <c:pt idx="68">
                  <c:v>-3.72</c:v>
                </c:pt>
                <c:pt idx="69">
                  <c:v>-1.92</c:v>
                </c:pt>
                <c:pt idx="70">
                  <c:v>-0.43</c:v>
                </c:pt>
                <c:pt idx="71">
                  <c:v>2.87</c:v>
                </c:pt>
                <c:pt idx="72">
                  <c:v>-0.18</c:v>
                </c:pt>
                <c:pt idx="73">
                  <c:v>-6.92</c:v>
                </c:pt>
                <c:pt idx="74">
                  <c:v>-0.51</c:v>
                </c:pt>
                <c:pt idx="75">
                  <c:v>-1.8</c:v>
                </c:pt>
                <c:pt idx="76">
                  <c:v>-1.8</c:v>
                </c:pt>
                <c:pt idx="77">
                  <c:v>0.11</c:v>
                </c:pt>
                <c:pt idx="78">
                  <c:v>-0.98</c:v>
                </c:pt>
                <c:pt idx="79">
                  <c:v>-1.75</c:v>
                </c:pt>
                <c:pt idx="80">
                  <c:v>1.72</c:v>
                </c:pt>
                <c:pt idx="81">
                  <c:v>-4.41</c:v>
                </c:pt>
                <c:pt idx="82">
                  <c:v>-4.3600000000000003</c:v>
                </c:pt>
                <c:pt idx="83">
                  <c:v>-2.2200000000000002</c:v>
                </c:pt>
                <c:pt idx="84">
                  <c:v>1.05</c:v>
                </c:pt>
                <c:pt idx="85">
                  <c:v>0.46</c:v>
                </c:pt>
                <c:pt idx="86">
                  <c:v>-3.49</c:v>
                </c:pt>
                <c:pt idx="87">
                  <c:v>-1.82</c:v>
                </c:pt>
                <c:pt idx="88">
                  <c:v>-1.71</c:v>
                </c:pt>
                <c:pt idx="89">
                  <c:v>-0.37</c:v>
                </c:pt>
                <c:pt idx="90">
                  <c:v>-0.01</c:v>
                </c:pt>
                <c:pt idx="91">
                  <c:v>-1.3</c:v>
                </c:pt>
                <c:pt idx="92">
                  <c:v>2.68</c:v>
                </c:pt>
                <c:pt idx="93">
                  <c:v>-3.82</c:v>
                </c:pt>
                <c:pt idx="94">
                  <c:v>-0.96</c:v>
                </c:pt>
                <c:pt idx="95">
                  <c:v>-1.1200000000000001</c:v>
                </c:pt>
                <c:pt idx="96">
                  <c:v>-2.68</c:v>
                </c:pt>
                <c:pt idx="97">
                  <c:v>-0.26</c:v>
                </c:pt>
              </c:numCache>
            </c:numRef>
          </c:xVal>
          <c:yVal>
            <c:numRef>
              <c:f>'[Figurer V2.xlsx]Overskridelser 2016,2017'!$C$5:$C$102</c:f>
              <c:numCache>
                <c:formatCode>General</c:formatCode>
                <c:ptCount val="98"/>
                <c:pt idx="0">
                  <c:v>-14.86</c:v>
                </c:pt>
                <c:pt idx="1">
                  <c:v>-6.8</c:v>
                </c:pt>
                <c:pt idx="2">
                  <c:v>-6.25</c:v>
                </c:pt>
                <c:pt idx="3">
                  <c:v>-4.75</c:v>
                </c:pt>
                <c:pt idx="4">
                  <c:v>-3.93</c:v>
                </c:pt>
                <c:pt idx="5">
                  <c:v>-3.89</c:v>
                </c:pt>
                <c:pt idx="6">
                  <c:v>-3.87</c:v>
                </c:pt>
                <c:pt idx="7">
                  <c:v>-3.72</c:v>
                </c:pt>
                <c:pt idx="8">
                  <c:v>-3.59</c:v>
                </c:pt>
                <c:pt idx="9">
                  <c:v>-3.34</c:v>
                </c:pt>
                <c:pt idx="10">
                  <c:v>-3.28</c:v>
                </c:pt>
                <c:pt idx="11">
                  <c:v>-3.2</c:v>
                </c:pt>
                <c:pt idx="12">
                  <c:v>-3.16</c:v>
                </c:pt>
                <c:pt idx="13">
                  <c:v>-3.09</c:v>
                </c:pt>
                <c:pt idx="14">
                  <c:v>-3.04</c:v>
                </c:pt>
                <c:pt idx="15">
                  <c:v>-3</c:v>
                </c:pt>
                <c:pt idx="16">
                  <c:v>-2.91</c:v>
                </c:pt>
                <c:pt idx="17">
                  <c:v>-2.86</c:v>
                </c:pt>
                <c:pt idx="18">
                  <c:v>-2.74</c:v>
                </c:pt>
                <c:pt idx="19">
                  <c:v>-2.68</c:v>
                </c:pt>
                <c:pt idx="20">
                  <c:v>-2.46</c:v>
                </c:pt>
                <c:pt idx="21">
                  <c:v>-2.39</c:v>
                </c:pt>
                <c:pt idx="22">
                  <c:v>-2.2999999999999998</c:v>
                </c:pt>
                <c:pt idx="23">
                  <c:v>-2.29</c:v>
                </c:pt>
                <c:pt idx="24">
                  <c:v>-2.23</c:v>
                </c:pt>
                <c:pt idx="25">
                  <c:v>-2.23</c:v>
                </c:pt>
                <c:pt idx="26">
                  <c:v>-2.15</c:v>
                </c:pt>
                <c:pt idx="27">
                  <c:v>-2.06</c:v>
                </c:pt>
                <c:pt idx="28">
                  <c:v>-1.99</c:v>
                </c:pt>
                <c:pt idx="29">
                  <c:v>-1.98</c:v>
                </c:pt>
                <c:pt idx="30">
                  <c:v>-1.94</c:v>
                </c:pt>
                <c:pt idx="31">
                  <c:v>-1.86</c:v>
                </c:pt>
                <c:pt idx="32">
                  <c:v>-1.84</c:v>
                </c:pt>
                <c:pt idx="33">
                  <c:v>-1.83</c:v>
                </c:pt>
                <c:pt idx="34">
                  <c:v>-1.76</c:v>
                </c:pt>
                <c:pt idx="35">
                  <c:v>-1.74</c:v>
                </c:pt>
                <c:pt idx="36">
                  <c:v>-1.65</c:v>
                </c:pt>
                <c:pt idx="37">
                  <c:v>-1.61</c:v>
                </c:pt>
                <c:pt idx="38">
                  <c:v>-1.53</c:v>
                </c:pt>
                <c:pt idx="39">
                  <c:v>-1.53</c:v>
                </c:pt>
                <c:pt idx="40">
                  <c:v>-1.52</c:v>
                </c:pt>
                <c:pt idx="41">
                  <c:v>-1.51</c:v>
                </c:pt>
                <c:pt idx="42">
                  <c:v>-1.49</c:v>
                </c:pt>
                <c:pt idx="43">
                  <c:v>-1.37</c:v>
                </c:pt>
                <c:pt idx="44">
                  <c:v>-1.25</c:v>
                </c:pt>
                <c:pt idx="45">
                  <c:v>-1.22</c:v>
                </c:pt>
                <c:pt idx="46">
                  <c:v>-1.18</c:v>
                </c:pt>
                <c:pt idx="47">
                  <c:v>-1.17</c:v>
                </c:pt>
                <c:pt idx="48">
                  <c:v>-1.1499999999999999</c:v>
                </c:pt>
                <c:pt idx="49">
                  <c:v>-0.96</c:v>
                </c:pt>
                <c:pt idx="50">
                  <c:v>-0.9</c:v>
                </c:pt>
                <c:pt idx="51">
                  <c:v>-0.89</c:v>
                </c:pt>
                <c:pt idx="52">
                  <c:v>-0.88</c:v>
                </c:pt>
                <c:pt idx="53">
                  <c:v>-0.81</c:v>
                </c:pt>
                <c:pt idx="54">
                  <c:v>-0.78</c:v>
                </c:pt>
                <c:pt idx="55">
                  <c:v>-0.74</c:v>
                </c:pt>
                <c:pt idx="56">
                  <c:v>-0.72</c:v>
                </c:pt>
                <c:pt idx="57">
                  <c:v>-0.68</c:v>
                </c:pt>
                <c:pt idx="58">
                  <c:v>-0.65</c:v>
                </c:pt>
                <c:pt idx="59">
                  <c:v>-0.62</c:v>
                </c:pt>
                <c:pt idx="60">
                  <c:v>-0.61</c:v>
                </c:pt>
                <c:pt idx="61">
                  <c:v>-0.61</c:v>
                </c:pt>
                <c:pt idx="62">
                  <c:v>-0.6</c:v>
                </c:pt>
                <c:pt idx="63">
                  <c:v>-0.57999999999999996</c:v>
                </c:pt>
                <c:pt idx="64">
                  <c:v>-0.54</c:v>
                </c:pt>
                <c:pt idx="65">
                  <c:v>-0.4</c:v>
                </c:pt>
                <c:pt idx="66">
                  <c:v>-0.28000000000000003</c:v>
                </c:pt>
                <c:pt idx="67">
                  <c:v>-0.22</c:v>
                </c:pt>
                <c:pt idx="68">
                  <c:v>-0.2</c:v>
                </c:pt>
                <c:pt idx="69">
                  <c:v>-0.16</c:v>
                </c:pt>
                <c:pt idx="70">
                  <c:v>-0.15</c:v>
                </c:pt>
                <c:pt idx="71">
                  <c:v>-0.13</c:v>
                </c:pt>
                <c:pt idx="72">
                  <c:v>-0.1</c:v>
                </c:pt>
                <c:pt idx="73">
                  <c:v>-0.1</c:v>
                </c:pt>
                <c:pt idx="74">
                  <c:v>-0.06</c:v>
                </c:pt>
                <c:pt idx="75">
                  <c:v>-0.03</c:v>
                </c:pt>
                <c:pt idx="76">
                  <c:v>-0.02</c:v>
                </c:pt>
                <c:pt idx="77">
                  <c:v>0.12</c:v>
                </c:pt>
                <c:pt idx="78">
                  <c:v>0.13</c:v>
                </c:pt>
                <c:pt idx="79">
                  <c:v>0.16</c:v>
                </c:pt>
                <c:pt idx="80">
                  <c:v>0.17</c:v>
                </c:pt>
                <c:pt idx="81">
                  <c:v>0.19</c:v>
                </c:pt>
                <c:pt idx="82">
                  <c:v>0.23</c:v>
                </c:pt>
                <c:pt idx="83">
                  <c:v>0.39</c:v>
                </c:pt>
                <c:pt idx="84">
                  <c:v>0.52</c:v>
                </c:pt>
                <c:pt idx="85">
                  <c:v>0.56999999999999995</c:v>
                </c:pt>
                <c:pt idx="86">
                  <c:v>0.61</c:v>
                </c:pt>
                <c:pt idx="87">
                  <c:v>0.95</c:v>
                </c:pt>
                <c:pt idx="88">
                  <c:v>1.0900000000000001</c:v>
                </c:pt>
                <c:pt idx="89">
                  <c:v>1.18</c:v>
                </c:pt>
                <c:pt idx="90">
                  <c:v>1.22</c:v>
                </c:pt>
                <c:pt idx="91">
                  <c:v>1.97</c:v>
                </c:pt>
                <c:pt idx="92">
                  <c:v>2.02</c:v>
                </c:pt>
                <c:pt idx="93">
                  <c:v>2.6</c:v>
                </c:pt>
                <c:pt idx="94">
                  <c:v>2.72</c:v>
                </c:pt>
                <c:pt idx="95">
                  <c:v>3.34</c:v>
                </c:pt>
                <c:pt idx="96">
                  <c:v>4</c:v>
                </c:pt>
                <c:pt idx="97">
                  <c:v>5.0999999999999996</c:v>
                </c:pt>
              </c:numCache>
            </c:numRef>
          </c:yVal>
          <c:smooth val="0"/>
          <c:extLst>
            <c:ext xmlns:c16="http://schemas.microsoft.com/office/drawing/2014/chart" uri="{C3380CC4-5D6E-409C-BE32-E72D297353CC}">
              <c16:uniqueId val="{00000000-899A-4012-9B83-F10A9014DF75}"/>
            </c:ext>
          </c:extLst>
        </c:ser>
        <c:dLbls>
          <c:showLegendKey val="0"/>
          <c:showVal val="0"/>
          <c:showCatName val="0"/>
          <c:showSerName val="0"/>
          <c:showPercent val="0"/>
          <c:showBubbleSize val="0"/>
        </c:dLbls>
        <c:axId val="723641040"/>
        <c:axId val="723641696"/>
      </c:scatterChart>
      <c:valAx>
        <c:axId val="723641040"/>
        <c:scaling>
          <c:orientation val="minMax"/>
          <c:max val="14.3"/>
          <c:min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Lato" panose="020F0502020204030203" pitchFamily="34" charset="0"/>
                    <a:ea typeface="+mn-ea"/>
                    <a:cs typeface="+mn-cs"/>
                  </a:defRPr>
                </a:pPr>
                <a:r>
                  <a:rPr lang="da-DK"/>
                  <a:t>Pct. overskridelse, 2016</a:t>
                </a:r>
              </a:p>
            </c:rich>
          </c:tx>
          <c:layout>
            <c:manualLayout>
              <c:xMode val="edge"/>
              <c:yMode val="edge"/>
              <c:x val="0.69365279848416295"/>
              <c:y val="0.943421032370953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Lato" panose="020F0502020204030203" pitchFamily="34" charset="0"/>
                  <a:ea typeface="+mn-ea"/>
                  <a:cs typeface="+mn-cs"/>
                </a:defRPr>
              </a:pPr>
              <a:endParaRPr lang="da-DK"/>
            </a:p>
          </c:txPr>
        </c:title>
        <c:numFmt formatCode="General" sourceLinked="1"/>
        <c:majorTickMark val="none"/>
        <c:minorTickMark val="none"/>
        <c:tickLblPos val="low"/>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pitchFamily="34" charset="0"/>
                <a:ea typeface="+mn-ea"/>
                <a:cs typeface="+mn-cs"/>
              </a:defRPr>
            </a:pPr>
            <a:endParaRPr lang="da-DK"/>
          </a:p>
        </c:txPr>
        <c:crossAx val="723641696"/>
        <c:crosses val="autoZero"/>
        <c:crossBetween val="midCat"/>
        <c:majorUnit val="4"/>
      </c:valAx>
      <c:valAx>
        <c:axId val="723641696"/>
        <c:scaling>
          <c:orientation val="minMax"/>
          <c:max val="6"/>
          <c:min val="-16"/>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ysClr val="windowText" lastClr="000000"/>
                    </a:solidFill>
                    <a:latin typeface="Lato" panose="020F0502020204030203" pitchFamily="34" charset="0"/>
                    <a:ea typeface="+mn-ea"/>
                    <a:cs typeface="+mn-cs"/>
                  </a:defRPr>
                </a:pPr>
                <a:r>
                  <a:rPr lang="da-DK" b="1"/>
                  <a:t>Pct. overskridelse, 2017</a:t>
                </a:r>
              </a:p>
            </c:rich>
          </c:tx>
          <c:layout>
            <c:manualLayout>
              <c:xMode val="edge"/>
              <c:yMode val="edge"/>
              <c:x val="1.1323568265553297E-2"/>
              <c:y val="1.8744665852727369E-2"/>
            </c:manualLayout>
          </c:layout>
          <c:overlay val="0"/>
          <c:spPr>
            <a:noFill/>
            <a:ln>
              <a:noFill/>
            </a:ln>
            <a:effectLst/>
          </c:spPr>
          <c:txPr>
            <a:bodyPr rot="0" spcFirstLastPara="1" vertOverflow="ellipsis" wrap="square" anchor="ctr" anchorCtr="1"/>
            <a:lstStyle/>
            <a:p>
              <a:pPr>
                <a:defRPr sz="1000" b="1" i="0" u="none" strike="noStrike" kern="1200" baseline="0">
                  <a:solidFill>
                    <a:sysClr val="windowText" lastClr="000000"/>
                  </a:solidFill>
                  <a:latin typeface="Lato" panose="020F0502020204030203" pitchFamily="34" charset="0"/>
                  <a:ea typeface="+mn-ea"/>
                  <a:cs typeface="+mn-cs"/>
                </a:defRPr>
              </a:pPr>
              <a:endParaRPr lang="da-DK"/>
            </a:p>
          </c:txPr>
        </c:title>
        <c:numFmt formatCode="General" sourceLinked="1"/>
        <c:majorTickMark val="none"/>
        <c:minorTickMark val="none"/>
        <c:tickLblPos val="low"/>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Lato" panose="020F0502020204030203" pitchFamily="34" charset="0"/>
                <a:ea typeface="+mn-ea"/>
                <a:cs typeface="+mn-cs"/>
              </a:defRPr>
            </a:pPr>
            <a:endParaRPr lang="da-DK"/>
          </a:p>
        </c:txPr>
        <c:crossAx val="723641040"/>
        <c:crosses val="autoZero"/>
        <c:crossBetween val="midCat"/>
        <c:majorUnit val="4"/>
      </c:valAx>
      <c:spPr>
        <a:noFill/>
        <a:ln>
          <a:solidFill>
            <a:schemeClr val="bg2">
              <a:lumMod val="90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Lato" panose="020F0502020204030203" pitchFamily="34" charset="0"/>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0.53643</cdr:x>
      <cdr:y>0.13232</cdr:y>
    </cdr:from>
    <cdr:to>
      <cdr:x>0.53643</cdr:x>
      <cdr:y>0.8875</cdr:y>
    </cdr:to>
    <cdr:cxnSp macro="">
      <cdr:nvCxnSpPr>
        <cdr:cNvPr id="10" name="Lige forbindelse 9">
          <a:extLst xmlns:a="http://schemas.openxmlformats.org/drawingml/2006/main">
            <a:ext uri="{FF2B5EF4-FFF2-40B4-BE49-F238E27FC236}">
              <a16:creationId xmlns:a16="http://schemas.microsoft.com/office/drawing/2014/main" id="{1BE95A89-490B-4A7F-B74D-C8CBB4342F65}"/>
            </a:ext>
          </a:extLst>
        </cdr:cNvPr>
        <cdr:cNvCxnSpPr/>
      </cdr:nvCxnSpPr>
      <cdr:spPr>
        <a:xfrm xmlns:a="http://schemas.openxmlformats.org/drawingml/2006/main" flipV="1">
          <a:off x="3159710" y="552893"/>
          <a:ext cx="0" cy="3155368"/>
        </a:xfrm>
        <a:prstGeom xmlns:a="http://schemas.openxmlformats.org/drawingml/2006/main" prst="line">
          <a:avLst/>
        </a:prstGeom>
        <a:ln xmlns:a="http://schemas.openxmlformats.org/drawingml/2006/main" w="12700" cap="flat">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9C181-032E-45BF-89B4-5CBE333C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6283</Words>
  <Characters>38333</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Budgetdisciplin i kommunerne - en analyse af, hvad der ligger bag kommunale budgetoverskridelser</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Budgetdisciplin i kommunerne - en analyse af, hvad der ligger bag kommunale budgetoverskridelser</dc:title>
  <dc:creator>Henrik Christoffersen (25 38 30 00) og Tobias Heide-Winther</dc:creator>
  <cp:lastModifiedBy>Kim Rosenkilde</cp:lastModifiedBy>
  <cp:revision>2</cp:revision>
  <cp:lastPrinted>2018-10-12T10:53:00Z</cp:lastPrinted>
  <dcterms:created xsi:type="dcterms:W3CDTF">2018-12-18T13:08:00Z</dcterms:created>
  <dcterms:modified xsi:type="dcterms:W3CDTF">2018-12-18T13:08:00Z</dcterms:modified>
</cp:coreProperties>
</file>